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</w:pPr>
      <w:r w:rsidRPr="003D29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Приложение към чл. 1,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ал.З от Насоки, приети от НСАП</w:t>
      </w:r>
    </w:p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76"/>
        <w:gridCol w:w="1842"/>
        <w:gridCol w:w="1418"/>
        <w:gridCol w:w="1976"/>
        <w:gridCol w:w="1976"/>
      </w:tblGrid>
      <w:tr w:rsidR="0007182C" w:rsidTr="0007182C">
        <w:tc>
          <w:tcPr>
            <w:tcW w:w="15400" w:type="dxa"/>
            <w:gridSpan w:val="9"/>
            <w:shd w:val="clear" w:color="auto" w:fill="B8CCE4" w:themeFill="accent1" w:themeFillTint="66"/>
            <w:vAlign w:val="center"/>
          </w:tcPr>
          <w:p w:rsidR="0007182C" w:rsidRPr="00513534" w:rsidRDefault="0007182C" w:rsidP="0051353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– </w:t>
            </w:r>
            <w:r w:rsidR="00513534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годишен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отчет </w:t>
            </w:r>
            <w:r w:rsidR="00513534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2019 г.</w:t>
            </w:r>
          </w:p>
          <w:p w:rsidR="0007182C" w:rsidRPr="003D292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B8CCE4" w:themeFill="accent1" w:themeFillTint="66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C63F90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процедиране на електронни бюджетни платежни нареждания 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законосъобразността на всички поети разходи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276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7182C" w:rsidRPr="0048263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1418" w:type="dxa"/>
          </w:tcPr>
          <w:p w:rsidR="0007182C" w:rsidRPr="00EB2358" w:rsidRDefault="0007182C" w:rsidP="00720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и началници отдели в Главна дирекция „Стратегическ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Pr="00BE4D0A" w:rsidRDefault="0007182C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E4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при обработка на всички разплащания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адекватна одитна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поддръжка на цялата релевантна информация за стопанските операции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електронни системи с непрекъсната проверка за съот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етствие на данните в кореспондиращите модули на 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Осигурена система за пълно и точно представяне на стопанските операции, както в рамките на ГД "СППРР", така и пред релевантните национални институции (Одитен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орган, Сертифициращ орган, Сметна палата, АФКОС) и структурите на ЕС (ЕК, ОЛАФ, Европейска сметна палата)</w:t>
            </w:r>
          </w:p>
        </w:tc>
        <w:tc>
          <w:tcPr>
            <w:tcW w:w="1276" w:type="dxa"/>
          </w:tcPr>
          <w:p w:rsidR="0007182C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07182C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07182C" w:rsidRPr="00EB2358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Въведени и функциониращи информационни системи, представящи вярна, пълна и проследима информация</w:t>
            </w:r>
          </w:p>
        </w:tc>
        <w:tc>
          <w:tcPr>
            <w:tcW w:w="1418" w:type="dxa"/>
          </w:tcPr>
          <w:p w:rsidR="0007182C" w:rsidRPr="00EB2358" w:rsidRDefault="0007182C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Pr="00BE4D0A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извършване на счетоводните операции от конкретни експерти (счетоводители) и последващо одобрение на същите от началник сектор и РУО;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отразяване на счетоводните записвания в счетоводна система САП с конкретни нива на достъп на съответните служители в зависимост от задълженията им, индивидуализирани криптирани профили и осигуряване на ежедневно архивиране на въвежданата информация от IT администратор;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интерфейс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документална обоснованост на счетоводните операции чрез прилагането на съответни първични документи на хартиен носител или електронно подписани документи от ИСУН 2020;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извършване на равнение на данни за дългове към ГД "СППРР" по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финансови корекции на месечна база между САП, Книга на длъжници, ИСУН 2020 и Регистър нередности, поддържан от отдел "</w:t>
            </w:r>
            <w:r>
              <w:t xml:space="preserve"> </w:t>
            </w:r>
            <w:r w:rsidRPr="00B267C6">
              <w:rPr>
                <w:rFonts w:ascii="Times New Roman" w:hAnsi="Times New Roman" w:cs="Times New Roman"/>
                <w:sz w:val="18"/>
                <w:szCs w:val="18"/>
              </w:rPr>
              <w:t>Контрол на обществените поръчки и нередности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(КОПН)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изисквани справки и обобщени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равнение на всяка докладвана от ГД "СППРР" финансова информация със счетоводните регистри, равнение на банковата сметка, месечно равнение на лимитите, равнение на счетоводните записи между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Управляващия орган (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 xml:space="preserve"> и СО, месечно и тримесечно равнение между аналитични и синтетични сметки, месечно и тримесечно равнение на изготвения касов отчет</w:t>
            </w:r>
          </w:p>
        </w:tc>
        <w:tc>
          <w:tcPr>
            <w:tcW w:w="1701" w:type="dxa"/>
            <w:gridSpan w:val="2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276" w:type="dxa"/>
          </w:tcPr>
          <w:p w:rsidR="0007182C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4C31B1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1418" w:type="dxa"/>
          </w:tcPr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 началници на 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07182C" w:rsidRPr="004C31B1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Pr="00BE4D0A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D0A"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страниците на програмите за трансгранично сътрудничество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1701" w:type="dxa"/>
            <w:gridSpan w:val="2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процеса, свързан с провеждането на обществени поръчки</w:t>
            </w:r>
          </w:p>
        </w:tc>
        <w:tc>
          <w:tcPr>
            <w:tcW w:w="1276" w:type="dxa"/>
          </w:tcPr>
          <w:p w:rsidR="0007182C" w:rsidRPr="00523CD2" w:rsidRDefault="0007182C" w:rsidP="005E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9-31.12.2019 г.</w:t>
            </w:r>
          </w:p>
        </w:tc>
        <w:tc>
          <w:tcPr>
            <w:tcW w:w="1842" w:type="dxa"/>
          </w:tcPr>
          <w:p w:rsidR="0007182C" w:rsidRPr="00523CD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обяви за тръжни процедури</w:t>
            </w:r>
          </w:p>
        </w:tc>
        <w:tc>
          <w:tcPr>
            <w:tcW w:w="1418" w:type="dxa"/>
          </w:tcPr>
          <w:p w:rsidR="0007182C" w:rsidRDefault="0007182C" w:rsidP="005E1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на  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териториал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ното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сътрудни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“ (УТС) в МРРБ;</w:t>
            </w:r>
          </w:p>
          <w:p w:rsidR="0007182C" w:rsidRPr="00523CD2" w:rsidRDefault="0007182C" w:rsidP="005E16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Съвместните секретариати по програмите</w:t>
            </w:r>
          </w:p>
        </w:tc>
        <w:tc>
          <w:tcPr>
            <w:tcW w:w="1976" w:type="dxa"/>
          </w:tcPr>
          <w:p w:rsidR="0007182C" w:rsidRDefault="0007182C" w:rsidP="006D1F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Публикувани </w:t>
            </w:r>
            <w:r w:rsidR="00BE4D0A">
              <w:rPr>
                <w:rFonts w:ascii="Times New Roman" w:hAnsi="Times New Roman" w:cs="Times New Roman"/>
                <w:sz w:val="18"/>
                <w:szCs w:val="18"/>
              </w:rPr>
              <w:t>са 66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обяви по Програмата за ТГС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ИПП България – Сърбия</w:t>
            </w:r>
            <w:r w:rsidR="00BE4D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82C" w:rsidRPr="009419A3" w:rsidRDefault="0007182C" w:rsidP="009419A3">
            <w:pPr>
              <w:rPr>
                <w:rFonts w:ascii="Times New Roman" w:eastAsia="Calibri" w:hAnsi="Times New Roman" w:cs="Times New Roman"/>
                <w:sz w:val="18"/>
                <w:szCs w:val="18"/>
                <w:lang w:val="mk-MK" w:eastAsia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-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Публикувана 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20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обяв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 по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 България – Турция;</w:t>
            </w:r>
          </w:p>
          <w:p w:rsidR="0007182C" w:rsidRPr="009419A3" w:rsidRDefault="0007182C" w:rsidP="003109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- 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П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убликувани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="0031097B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са </w:t>
            </w:r>
            <w:r w:rsidR="0031097B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17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обяви по Програмата за ТГС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Interreg</w:t>
            </w:r>
            <w:proofErr w:type="spellEnd"/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en-US" w:eastAsia="bg-BG"/>
              </w:rPr>
              <w:t>-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ИПП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val="mk-MK" w:eastAsia="bg-BG"/>
              </w:rPr>
              <w:t xml:space="preserve"> </w:t>
            </w:r>
            <w:r w:rsidRPr="009419A3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между Република България и Репуб</w:t>
            </w:r>
            <w:r w:rsidR="00BE4D0A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лика Северна Македония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страницата на Единния информационен портал на процедури за избор на изпълнител, провеждани по реда на 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от ЗУСЕСИФ и ПМС № 160/2016 г. от неправителствени организации</w:t>
            </w:r>
            <w:r w:rsidRPr="00A72A99">
              <w:rPr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бенефициенти по програмите за трансгранично сътрудничество,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финансирани със средства от Европейския фонд за регионално развитие</w:t>
            </w:r>
          </w:p>
        </w:tc>
        <w:tc>
          <w:tcPr>
            <w:tcW w:w="1701" w:type="dxa"/>
            <w:gridSpan w:val="2"/>
          </w:tcPr>
          <w:p w:rsidR="0007182C" w:rsidRPr="00A72A99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публикуване на обществени поръчки</w:t>
            </w:r>
          </w:p>
        </w:tc>
        <w:tc>
          <w:tcPr>
            <w:tcW w:w="1276" w:type="dxa"/>
          </w:tcPr>
          <w:p w:rsidR="0007182C" w:rsidRPr="00A72A99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01.01.2019-31.12.2019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покани за избор на изпълнител</w:t>
            </w:r>
          </w:p>
        </w:tc>
        <w:tc>
          <w:tcPr>
            <w:tcW w:w="1418" w:type="dxa"/>
          </w:tcPr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07182C" w:rsidRPr="00A72A99" w:rsidRDefault="0007182C" w:rsidP="0053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 в отдел „Програми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ИНТЕРРЕГ“</w:t>
            </w:r>
          </w:p>
        </w:tc>
        <w:tc>
          <w:tcPr>
            <w:tcW w:w="1976" w:type="dxa"/>
          </w:tcPr>
          <w:p w:rsidR="0007182C" w:rsidRPr="00B578A4" w:rsidRDefault="0007182C" w:rsidP="00672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Публикувани </w:t>
            </w:r>
            <w:r w:rsidR="00672BB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покани за избор на изпълнител от неправителствени организации бенефициенти по програмите за ТГС, финансирани от ЕФРР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(СКН)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 на програмите и др.</w:t>
            </w:r>
          </w:p>
        </w:tc>
        <w:tc>
          <w:tcPr>
            <w:tcW w:w="1701" w:type="dxa"/>
            <w:gridSpan w:val="2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оценка и избор на проектни предложения</w:t>
            </w:r>
          </w:p>
        </w:tc>
        <w:tc>
          <w:tcPr>
            <w:tcW w:w="1276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01.01.2019-31.12.2019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Публикувани резултати по покани за набиране на проектни предложения</w:t>
            </w:r>
          </w:p>
        </w:tc>
        <w:tc>
          <w:tcPr>
            <w:tcW w:w="1418" w:type="dxa"/>
          </w:tcPr>
          <w:p w:rsidR="0007182C" w:rsidRPr="009E7A2C" w:rsidRDefault="0007182C" w:rsidP="009E7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на отдел „Програми ИНТЕРРЕГ-ИПП Трансгранично сътрудничество“ в дирекция „УТС“;</w:t>
            </w:r>
          </w:p>
          <w:p w:rsidR="0007182C" w:rsidRPr="009E7A2C" w:rsidRDefault="0007182C" w:rsidP="009E7A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отдел "</w:t>
            </w:r>
            <w:proofErr w:type="spellStart"/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 развитие и публичност"</w:t>
            </w:r>
          </w:p>
        </w:tc>
        <w:tc>
          <w:tcPr>
            <w:tcW w:w="1976" w:type="dxa"/>
          </w:tcPr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По програма ИНТЕРРЕГ-ИПП България-Сърбия публикувани са общо: 11 решения на Съвместния комитет  за наблюдение – писмени процедури и 1 решение на СКН от присъствено заседание;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2 класирания на кандидатите за отпускане на безвъзмездна финансова помощ;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1 годишен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клад за изпълнени на програмата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програма ИНТЕРРЕГ-ИПП България-Северна Македония публикувани са общо: 9 решения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СКН</w:t>
            </w: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 xml:space="preserve"> – писмени процедури и 1 решение на СКН от присъствено заседание;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2 класирания на кандидатите за отпускане на безвъзмездна финансова помощ;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1 годишен доклад за изпълнени на програмата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програма ИНТЕРРЕГ-ИПП България-Турция са публикувани общо: 9 решения на Съвместния комитет  за наблюдение – 8 по писмени процедури и 1 решение на СКН от </w:t>
            </w:r>
            <w:r w:rsidRPr="000D0B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присъствено заседание;</w:t>
            </w:r>
          </w:p>
          <w:p w:rsidR="000D0B05" w:rsidRPr="000D0B05" w:rsidRDefault="000D0B05" w:rsidP="000D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2 съобщения относно класиране на кандидатите за отпускане на безвъзмездна финансова помощ;</w:t>
            </w:r>
          </w:p>
          <w:p w:rsidR="0007182C" w:rsidRPr="009419A3" w:rsidRDefault="000D0B05" w:rsidP="000D0B05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0B05">
              <w:rPr>
                <w:rFonts w:ascii="Times New Roman" w:hAnsi="Times New Roman" w:cs="Times New Roman"/>
                <w:sz w:val="18"/>
                <w:szCs w:val="18"/>
              </w:rPr>
              <w:t>1 годишен доклад за изпълнени на програмата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975009">
        <w:tc>
          <w:tcPr>
            <w:tcW w:w="3227" w:type="dxa"/>
          </w:tcPr>
          <w:p w:rsidR="0007182C" w:rsidRPr="00232A7E" w:rsidRDefault="0007182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Възлагане на различни служители изпълнението на отделните етапи от цикъла на обществената поръчка, а именно изготвянето на техническата спецификация на обществена поръчка, участието в работата на комисията и следене за изпълнение на сключения договор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се предотврати възлагането на едни и същи служители на изготвянето на техническите спецификации, участието в комисията за избор на изпълнител и определянето им като отговорни лица за изпълнението на сключените договори и приемането на работата по тях, което е предпоставка за корупционни практики. </w:t>
            </w:r>
          </w:p>
        </w:tc>
        <w:tc>
          <w:tcPr>
            <w:tcW w:w="1276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Брой постъпили жалби срещу решения за откриване на процедури по ЗОП във връзка с заложени ограничителни условия. </w:t>
            </w:r>
          </w:p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 различни служители участващи в при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418" w:type="dxa"/>
          </w:tcPr>
          <w:p w:rsidR="0007182C" w:rsidRPr="00EB2358" w:rsidRDefault="0007182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Директори на дирекции, които участват в цикъла на обществените поръчки в МРРБ</w:t>
            </w:r>
          </w:p>
        </w:tc>
        <w:tc>
          <w:tcPr>
            <w:tcW w:w="1976" w:type="dxa"/>
            <w:shd w:val="clear" w:color="auto" w:fill="auto"/>
          </w:tcPr>
          <w:p w:rsidR="0007182C" w:rsidRPr="003F5E9A" w:rsidRDefault="0007182C" w:rsidP="00FB653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F5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 от дирекциите, за които същата е приложима.</w:t>
            </w:r>
          </w:p>
          <w:p w:rsidR="0007182C" w:rsidRPr="003F5E9A" w:rsidRDefault="0007182C" w:rsidP="00FB653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F5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 периода няма постъпили жалби срещу решения за откриване на процедури по ЗОП във връзка с заложени ограничителни условия</w:t>
            </w:r>
          </w:p>
          <w:p w:rsidR="0007182C" w:rsidRPr="003F5E9A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07182C" w:rsidRPr="00D14AF5" w:rsidRDefault="0007182C" w:rsidP="00975009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Разработване и внедряване в МРРБ на система за контрол,  която да следи и отчита нерегламентираното влизане и изтегляне на служебна информация от работните станции на служителите в МРРБ</w:t>
            </w:r>
          </w:p>
        </w:tc>
        <w:tc>
          <w:tcPr>
            <w:tcW w:w="1701" w:type="dxa"/>
            <w:gridSpan w:val="2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Превенция срещу изтичане на служебна информация.</w:t>
            </w:r>
          </w:p>
        </w:tc>
        <w:tc>
          <w:tcPr>
            <w:tcW w:w="1276" w:type="dxa"/>
          </w:tcPr>
          <w:p w:rsidR="0007182C" w:rsidRPr="00EB2358" w:rsidRDefault="0007182C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07182C" w:rsidRPr="00EB2358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Внедрена система</w:t>
            </w:r>
          </w:p>
        </w:tc>
        <w:tc>
          <w:tcPr>
            <w:tcW w:w="1418" w:type="dxa"/>
          </w:tcPr>
          <w:p w:rsidR="0007182C" w:rsidRPr="00EB2358" w:rsidRDefault="0007182C" w:rsidP="00EA55B6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„Информационно обслужване и системи за сигурност“  (ИОСС) в МРРБ</w:t>
            </w:r>
          </w:p>
        </w:tc>
        <w:tc>
          <w:tcPr>
            <w:tcW w:w="1976" w:type="dxa"/>
          </w:tcPr>
          <w:p w:rsidR="0007182C" w:rsidRPr="003F5E9A" w:rsidRDefault="0007182C" w:rsidP="00067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9A">
              <w:rPr>
                <w:rFonts w:ascii="Times New Roman" w:hAnsi="Times New Roman" w:cs="Times New Roman"/>
                <w:sz w:val="18"/>
                <w:szCs w:val="18"/>
              </w:rPr>
              <w:t>Работните станции са включени в политиката за инф</w:t>
            </w:r>
            <w:r w:rsidR="003F5E9A" w:rsidRPr="003F5E9A">
              <w:rPr>
                <w:rFonts w:ascii="Times New Roman" w:hAnsi="Times New Roman" w:cs="Times New Roman"/>
                <w:sz w:val="18"/>
                <w:szCs w:val="18"/>
              </w:rPr>
              <w:t>ормационна сигурност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3F5E9A">
        <w:tc>
          <w:tcPr>
            <w:tcW w:w="3227" w:type="dxa"/>
          </w:tcPr>
          <w:p w:rsidR="0007182C" w:rsidRPr="00F51233" w:rsidRDefault="0007182C" w:rsidP="009200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 с бенефициент Агенция </w:t>
            </w: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„Пътна инфраструктура“ и текущ контрол по изпълнение на сключените договори с възложител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АПИ.</w:t>
            </w:r>
          </w:p>
          <w:p w:rsidR="0007182C" w:rsidRPr="00F51233" w:rsidRDefault="0007182C" w:rsidP="009200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F51233" w:rsidRDefault="0007182C" w:rsidP="00173D0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Брой издадени контролни листове, чрез които се удостоверява законосъобразност</w:t>
            </w:r>
            <w:r>
              <w:rPr>
                <w:sz w:val="18"/>
                <w:szCs w:val="18"/>
              </w:rPr>
              <w:t>та</w:t>
            </w:r>
            <w:r w:rsidRPr="00F51233">
              <w:rPr>
                <w:sz w:val="18"/>
                <w:szCs w:val="18"/>
              </w:rPr>
              <w:t xml:space="preserve"> на процедурата по ЗОП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или съответствие при отчетените резултати и действителните </w:t>
            </w:r>
            <w:r w:rsidRPr="00F51233">
              <w:rPr>
                <w:sz w:val="18"/>
                <w:szCs w:val="18"/>
              </w:rPr>
              <w:lastRenderedPageBreak/>
              <w:t>резултати в сертификати за плащане за извършена дейност по договор</w:t>
            </w:r>
          </w:p>
        </w:tc>
        <w:tc>
          <w:tcPr>
            <w:tcW w:w="1418" w:type="dxa"/>
          </w:tcPr>
          <w:p w:rsidR="0007182C" w:rsidRPr="00F51233" w:rsidRDefault="0007182C" w:rsidP="007E0B23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lastRenderedPageBreak/>
              <w:t>Председател на Управителния съвет на Агенц</w:t>
            </w:r>
            <w:r>
              <w:rPr>
                <w:sz w:val="18"/>
                <w:szCs w:val="18"/>
              </w:rPr>
              <w:t xml:space="preserve">ия „Пътна инфраструктура“ (АПИ);   </w:t>
            </w:r>
            <w:r w:rsidRPr="00F51233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на дирекция „Обществени пор</w:t>
            </w:r>
            <w:r>
              <w:rPr>
                <w:sz w:val="18"/>
                <w:szCs w:val="18"/>
              </w:rPr>
              <w:t xml:space="preserve">ъчки и правно обслужване“; </w:t>
            </w:r>
            <w:r w:rsidRPr="00F51233">
              <w:rPr>
                <w:sz w:val="18"/>
                <w:szCs w:val="18"/>
              </w:rPr>
              <w:lastRenderedPageBreak/>
              <w:t>Директор на дирекция „Анализ на ри</w:t>
            </w:r>
            <w:r>
              <w:rPr>
                <w:sz w:val="18"/>
                <w:szCs w:val="18"/>
              </w:rPr>
              <w:t>ска и оперативен контрол“ (АРОК)</w:t>
            </w:r>
          </w:p>
        </w:tc>
        <w:tc>
          <w:tcPr>
            <w:tcW w:w="1976" w:type="dxa"/>
            <w:shd w:val="clear" w:color="auto" w:fill="auto"/>
          </w:tcPr>
          <w:p w:rsidR="0007182C" w:rsidRPr="003F5E9A" w:rsidRDefault="0007182C" w:rsidP="006E342D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3F5E9A">
              <w:rPr>
                <w:sz w:val="18"/>
                <w:szCs w:val="18"/>
              </w:rPr>
              <w:lastRenderedPageBreak/>
              <w:t xml:space="preserve">Извършен е </w:t>
            </w:r>
            <w:proofErr w:type="spellStart"/>
            <w:r w:rsidRPr="003F5E9A">
              <w:rPr>
                <w:sz w:val="18"/>
                <w:szCs w:val="18"/>
              </w:rPr>
              <w:t>предва-рителен</w:t>
            </w:r>
            <w:proofErr w:type="spellEnd"/>
            <w:r w:rsidRPr="003F5E9A">
              <w:rPr>
                <w:sz w:val="18"/>
                <w:szCs w:val="18"/>
              </w:rPr>
              <w:t xml:space="preserve"> контрол за законосъобразност на </w:t>
            </w:r>
            <w:r w:rsidR="0087441C" w:rsidRPr="003F5E9A">
              <w:rPr>
                <w:sz w:val="18"/>
                <w:szCs w:val="18"/>
              </w:rPr>
              <w:t>процедури по ЗОП – издадени 739</w:t>
            </w:r>
            <w:r w:rsidRPr="003F5E9A">
              <w:rPr>
                <w:sz w:val="18"/>
                <w:szCs w:val="18"/>
              </w:rPr>
              <w:t xml:space="preserve"> бр.</w:t>
            </w:r>
            <w:r w:rsidR="0087441C" w:rsidRPr="003F5E9A">
              <w:rPr>
                <w:sz w:val="18"/>
                <w:szCs w:val="18"/>
              </w:rPr>
              <w:t xml:space="preserve"> контролни листове;</w:t>
            </w:r>
          </w:p>
          <w:p w:rsidR="0087441C" w:rsidRPr="003F5E9A" w:rsidRDefault="0087441C" w:rsidP="0087441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Извършен финансов контрол преди поемане на задължение и преди извършване на </w:t>
            </w:r>
            <w:r w:rsidRPr="003F5E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плащане – общо 6225 бр. издадени контролни листа;                Проверени сертификати за плащане – 244 бр</w:t>
            </w:r>
            <w:r w:rsidRPr="003F5E9A">
              <w:rPr>
                <w:rFonts w:ascii="Times New Roman" w:hAnsi="Times New Roman" w:cs="Times New Roman"/>
                <w:sz w:val="18"/>
                <w:szCs w:val="18"/>
              </w:rPr>
              <w:t>.; Доклади от проверки на място по обекти – 139 бр.</w:t>
            </w:r>
          </w:p>
        </w:tc>
        <w:tc>
          <w:tcPr>
            <w:tcW w:w="1976" w:type="dxa"/>
          </w:tcPr>
          <w:p w:rsidR="0007182C" w:rsidRPr="00EB2358" w:rsidRDefault="0007182C" w:rsidP="0087441C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Провеждане на обучения и разяснения на максимален брой служители в областта на противодействие на корупцията и конфликт на интереси, във връзка с прилагане на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за противодействие на корупцията и за отнемане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незаконно придобитото имущество</w:t>
            </w:r>
          </w:p>
        </w:tc>
        <w:tc>
          <w:tcPr>
            <w:tcW w:w="1701" w:type="dxa"/>
            <w:gridSpan w:val="2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Организационен/ кадрови</w:t>
            </w:r>
          </w:p>
        </w:tc>
        <w:tc>
          <w:tcPr>
            <w:tcW w:w="1984" w:type="dxa"/>
          </w:tcPr>
          <w:p w:rsidR="0007182C" w:rsidRPr="00F51233" w:rsidRDefault="0007182C" w:rsidP="00173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Повишаване квалификацията на служителите в областта на противодействие на корупцията и конфликт на интереси</w:t>
            </w:r>
          </w:p>
        </w:tc>
        <w:tc>
          <w:tcPr>
            <w:tcW w:w="1276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01.01.2019-31.12.2019 г.</w:t>
            </w:r>
          </w:p>
        </w:tc>
        <w:tc>
          <w:tcPr>
            <w:tcW w:w="1842" w:type="dxa"/>
          </w:tcPr>
          <w:p w:rsidR="0007182C" w:rsidRPr="00F51233" w:rsidRDefault="0007182C" w:rsidP="007E0B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Брой обучени служители</w:t>
            </w:r>
          </w:p>
        </w:tc>
        <w:tc>
          <w:tcPr>
            <w:tcW w:w="1418" w:type="dxa"/>
          </w:tcPr>
          <w:p w:rsidR="0007182C" w:rsidRPr="00F51233" w:rsidRDefault="0007182C" w:rsidP="00173D02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Всички директори на дирекц</w:t>
            </w:r>
            <w:r w:rsidR="006E782E">
              <w:rPr>
                <w:rFonts w:ascii="Times New Roman" w:hAnsi="Times New Roman" w:cs="Times New Roman"/>
                <w:sz w:val="18"/>
                <w:szCs w:val="18"/>
              </w:rPr>
              <w:t>ии в АПИ и специализирани звена към агенцията</w:t>
            </w:r>
          </w:p>
        </w:tc>
        <w:tc>
          <w:tcPr>
            <w:tcW w:w="1976" w:type="dxa"/>
          </w:tcPr>
          <w:p w:rsidR="0007182C" w:rsidRPr="003F5E9A" w:rsidRDefault="002E5176" w:rsidP="002E51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9A">
              <w:rPr>
                <w:rFonts w:ascii="Times New Roman" w:hAnsi="Times New Roman" w:cs="Times New Roman"/>
                <w:sz w:val="18"/>
                <w:szCs w:val="18"/>
              </w:rPr>
              <w:t>Проведени обучения в ИПА на следните теми: “Разработване на антикорупционен план и отчитане на антикорупционни планове“; “Превенция и противодействие на корупцията“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15400" w:type="dxa"/>
            <w:gridSpan w:val="9"/>
            <w:shd w:val="clear" w:color="auto" w:fill="92D050"/>
          </w:tcPr>
          <w:p w:rsidR="0007182C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извършване на контролни дейности</w:t>
            </w:r>
          </w:p>
          <w:p w:rsidR="0007182C" w:rsidRPr="00F34054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07182C" w:rsidRPr="00EB2358" w:rsidRDefault="0007182C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07182C" w:rsidRPr="00EB2358" w:rsidRDefault="0007182C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07182C" w:rsidRPr="00EB2358" w:rsidRDefault="0007182C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07182C" w:rsidRPr="00EB2358" w:rsidRDefault="0007182C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07182C" w:rsidRPr="00C63F90" w:rsidRDefault="0007182C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07182C" w:rsidRPr="00EB2358" w:rsidRDefault="0007182C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47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Контрол при проверка и одобрение на отчетени разходи по договори за предоставяне на безвъзмездна финансова помощ</w:t>
            </w:r>
          </w:p>
        </w:tc>
        <w:tc>
          <w:tcPr>
            <w:tcW w:w="1701" w:type="dxa"/>
            <w:gridSpan w:val="2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независим контрол и недопускане на субективизъм при извършваните проверки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Първо ниво на контрол</w:t>
            </w:r>
          </w:p>
          <w:p w:rsidR="0007182C" w:rsidRPr="008A7045" w:rsidRDefault="0007182C" w:rsidP="007E0B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второ ниво на контрол (законоустановен срок чл.61, ал.1 и чл.62, ал.2 от ЗУСЕСИФ)</w:t>
            </w:r>
          </w:p>
        </w:tc>
        <w:tc>
          <w:tcPr>
            <w:tcW w:w="1842" w:type="dxa"/>
          </w:tcPr>
          <w:p w:rsidR="0007182C" w:rsidRPr="008A7045" w:rsidRDefault="0007182C" w:rsidP="008A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Въведено пълно електронно отчитане на разходите по ОПРР 2014-2020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чрез ИСУН 2020, електронна обработка и одобрение на отчетени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 разходи от нивата на контрол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се постоянно при проверка и одобрение на отчетени разходи </w:t>
            </w:r>
            <w:r w:rsidR="00536B54">
              <w:rPr>
                <w:rFonts w:ascii="Times New Roman" w:hAnsi="Times New Roman" w:cs="Times New Roman"/>
                <w:sz w:val="18"/>
                <w:szCs w:val="18"/>
              </w:rPr>
              <w:t>по договори за БФП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8A7045" w:rsidRDefault="0007182C" w:rsidP="008A704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Въведена електрон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съгласуване на издадени актове чрез деловодната система на МРРБ "</w:t>
            </w:r>
            <w:proofErr w:type="spellStart"/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Акстър</w:t>
            </w:r>
            <w:proofErr w:type="spellEnd"/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 офис".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за всеки администр</w:t>
            </w:r>
            <w:r w:rsidR="00536B54">
              <w:rPr>
                <w:rFonts w:ascii="Times New Roman" w:hAnsi="Times New Roman" w:cs="Times New Roman"/>
                <w:sz w:val="18"/>
                <w:szCs w:val="18"/>
              </w:rPr>
              <w:t>ативен акт на РУО на ОПРР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Етапите, отговорните лица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проверките на отговорните лица във връзка с одобрение на разходит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276" w:type="dxa"/>
          </w:tcPr>
          <w:p w:rsidR="0007182C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A704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418" w:type="dxa"/>
          </w:tcPr>
          <w:p w:rsidR="0007182C" w:rsidRPr="00C93EF2" w:rsidRDefault="0007182C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C93EF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се постоянно в съответствие с НУИОПРР 2014-2020 и Системите за управление и контрол на ОПРР 2014-2020 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Всички служители на ГД СППРР, във връзка с дейността си за участие в управлението на средства от ЕС, попълват декларация по смисъла на чл. 61 от Регламент (ЕС, </w:t>
            </w:r>
            <w:proofErr w:type="spellStart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Евратом</w:t>
            </w:r>
            <w:proofErr w:type="spellEnd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      </w:r>
            <w:proofErr w:type="spellStart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Евратом</w:t>
            </w:r>
            <w:proofErr w:type="spellEnd"/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) № 966/2012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 xml:space="preserve">  с която се гарантира независимост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изпълнение на функциите им</w:t>
            </w:r>
          </w:p>
        </w:tc>
        <w:tc>
          <w:tcPr>
            <w:tcW w:w="1701" w:type="dxa"/>
            <w:gridSpan w:val="2"/>
          </w:tcPr>
          <w:p w:rsidR="0007182C" w:rsidRPr="00801F12" w:rsidRDefault="0007182C" w:rsidP="0080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оценка и избор на проектни предложения и обществени поръчки</w:t>
            </w:r>
          </w:p>
        </w:tc>
        <w:tc>
          <w:tcPr>
            <w:tcW w:w="1276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01.01.2019-31.12.2019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F12">
              <w:rPr>
                <w:rFonts w:ascii="Times New Roman" w:hAnsi="Times New Roman" w:cs="Times New Roman"/>
                <w:sz w:val="18"/>
                <w:szCs w:val="18"/>
              </w:rPr>
              <w:t>Попълнени декларации</w:t>
            </w:r>
          </w:p>
        </w:tc>
        <w:tc>
          <w:tcPr>
            <w:tcW w:w="1418" w:type="dxa"/>
          </w:tcPr>
          <w:p w:rsidR="0007182C" w:rsidRPr="00C93EF2" w:rsidRDefault="0007182C" w:rsidP="00801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07182C" w:rsidRPr="00801F12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11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Разкриване на </w:t>
            </w: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еветуални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рискове за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измама и изготвяне на предложения за внедряване на ефективни и пропорционални мерки за борба с измамите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Проведeни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заседания,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извършени оценки и изготвени доклади</w:t>
            </w:r>
          </w:p>
        </w:tc>
        <w:tc>
          <w:tcPr>
            <w:tcW w:w="1418" w:type="dxa"/>
          </w:tcPr>
          <w:p w:rsidR="0007182C" w:rsidRDefault="0007182C" w:rsidP="00112D3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Директор на дирекция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„УТС“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МРРБ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07182C" w:rsidRPr="00112D35" w:rsidRDefault="0007182C" w:rsidP="00112D3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Отдел "Законодателство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нередности"(ЗН)</w:t>
            </w:r>
          </w:p>
        </w:tc>
        <w:tc>
          <w:tcPr>
            <w:tcW w:w="1976" w:type="dxa"/>
          </w:tcPr>
          <w:p w:rsidR="000D4B0C" w:rsidRDefault="00E514B1" w:rsidP="00216DA6">
            <w:pPr>
              <w:widowControl w:val="0"/>
              <w:ind w:left="-104" w:right="-1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Сформирана е г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рупа за оценка на риска от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измами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със </w:t>
            </w:r>
            <w:r w:rsidRPr="00E514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Заповед № РД-02-14-1205/</w:t>
            </w:r>
            <w:r w:rsidR="00977A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20.11.</w:t>
            </w:r>
            <w:r w:rsidRPr="00E514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г.</w:t>
            </w:r>
          </w:p>
          <w:p w:rsidR="00216DA6" w:rsidRPr="00AA5E73" w:rsidRDefault="00216DA6" w:rsidP="004708C2">
            <w:pPr>
              <w:widowControl w:val="0"/>
              <w:ind w:left="-104" w:right="-1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 w:bidi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Изготвен е обобщаващ доклад с оценка на риска на програмно ниво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програмите за ТГС ИНТЕРРЕГ-ИПА за 2018 г. от председателя на постоянната група за оценка на риска. Същият е одобрен от РУО по програмите за ТГС ИНТЕРРЕГ-ИПА. Заключението,</w:t>
            </w:r>
            <w:r w:rsidR="0047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формирано след анализ на попълнените от членовете на работната група инструменти за самооценка, е че не са налице обстоятелства, които да наложат идентифициранет</w:t>
            </w:r>
            <w:r>
              <w:rPr>
                <w:rFonts w:ascii="Times New Roman" w:hAnsi="Times New Roman"/>
                <w:sz w:val="18"/>
                <w:szCs w:val="18"/>
              </w:rPr>
              <w:t>о на нови рискове</w:t>
            </w:r>
          </w:p>
        </w:tc>
        <w:tc>
          <w:tcPr>
            <w:tcW w:w="1976" w:type="dxa"/>
          </w:tcPr>
          <w:p w:rsidR="0007182C" w:rsidRPr="00EB2358" w:rsidRDefault="0007182C" w:rsidP="00EE2A4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rPr>
          <w:trHeight w:val="1550"/>
        </w:trPr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Повишаване на осведомеността на лицата, участващи във верификацията на разходите по проекти по отношение на възможностите и начините за подаване на сигнали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нередности, измама и корупция 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Коректно адресирани и мотивирани сигнали за нередности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01.01.2019-31.12.2019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Проведени обучения, участие в семинари, индивидуални обучение на експерти</w:t>
            </w:r>
          </w:p>
        </w:tc>
        <w:tc>
          <w:tcPr>
            <w:tcW w:w="1418" w:type="dxa"/>
          </w:tcPr>
          <w:p w:rsidR="0007182C" w:rsidRPr="00112D35" w:rsidRDefault="0007182C" w:rsidP="00D41E49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на дирекция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„УТС“ в МРРБ;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Началник отдел "З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>Началник отдел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12D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"Организационно развитие и публичност"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(ОРП);  Съвместни секретариати</w:t>
            </w:r>
          </w:p>
        </w:tc>
        <w:tc>
          <w:tcPr>
            <w:tcW w:w="1976" w:type="dxa"/>
          </w:tcPr>
          <w:p w:rsidR="00AA5E73" w:rsidRPr="00B67C2E" w:rsidRDefault="00AA5E73" w:rsidP="00AA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 xml:space="preserve">Служителите в дирекция „УТС“ са информирани срещу подпис, относно  начините за подаване на сигнали за нередности, измами и корупция, въвеждани с актуализираните наръчници за </w:t>
            </w:r>
            <w:proofErr w:type="spellStart"/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изпълне</w:t>
            </w:r>
            <w:proofErr w:type="spellEnd"/>
            <w:r w:rsidR="0044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 xml:space="preserve">ние на програмата и за управление на </w:t>
            </w:r>
            <w:proofErr w:type="spellStart"/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проек</w:t>
            </w:r>
            <w:r w:rsidR="0044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тите</w:t>
            </w:r>
            <w:proofErr w:type="spellEnd"/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Всички служители са преми</w:t>
            </w:r>
            <w:r w:rsidR="0044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нали самообучение относно новите изисквания на превантивното законодателство срещу изпирането на пари и финансирането на тероризма /Закон за мерките срещу изпирането на пари и правилника за прилагането му/.</w:t>
            </w:r>
          </w:p>
          <w:p w:rsidR="00AA5E73" w:rsidRPr="00B67C2E" w:rsidRDefault="00AA5E73" w:rsidP="00AA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служители на Д „УТС“ са преминали обучение на тема: „2019-ОП-12-Мерки срещу изпирането на пари – ИПА“</w:t>
            </w:r>
          </w:p>
          <w:p w:rsidR="00AA5E73" w:rsidRPr="00B67C2E" w:rsidRDefault="00AA5E73" w:rsidP="00AA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5 служители на Д „УТС“ са преминали обучение на тема: "Опитът на одитния орган в областта на нередностите при провеждане на процедури за избор на изпълнител по PRAG“</w:t>
            </w:r>
          </w:p>
          <w:p w:rsidR="0007182C" w:rsidRPr="00B67C2E" w:rsidRDefault="00AA5E73" w:rsidP="00AA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C2E">
              <w:rPr>
                <w:rFonts w:ascii="Times New Roman" w:hAnsi="Times New Roman" w:cs="Times New Roman"/>
                <w:sz w:val="18"/>
                <w:szCs w:val="18"/>
              </w:rPr>
              <w:t>8 служители на Д „УТС“ са преминали обучение във връзка с актуална нормативна уредба по администриране на нередности и измами от Дирекция АФКОС-МВР</w:t>
            </w:r>
          </w:p>
        </w:tc>
        <w:tc>
          <w:tcPr>
            <w:tcW w:w="1976" w:type="dxa"/>
          </w:tcPr>
          <w:p w:rsidR="0007182C" w:rsidRPr="00EB2358" w:rsidRDefault="0007182C" w:rsidP="00AA5E7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07182C" w:rsidRPr="00EB2358" w:rsidTr="0007182C">
        <w:tc>
          <w:tcPr>
            <w:tcW w:w="3227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проверка за конфликт на интереси в модул „Обекти" на инструмента „АРАХНЕ“ преди създаване на профил за работа в ИСУН 2020 и/или включване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оценителна сесия в ИСУН 2020</w:t>
            </w:r>
          </w:p>
        </w:tc>
        <w:tc>
          <w:tcPr>
            <w:tcW w:w="1701" w:type="dxa"/>
            <w:gridSpan w:val="2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Избягване на евентуален конфликт на интереси</w:t>
            </w:r>
          </w:p>
        </w:tc>
        <w:tc>
          <w:tcPr>
            <w:tcW w:w="1276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07182C" w:rsidRPr="00112D35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рой проверки</w:t>
            </w:r>
          </w:p>
        </w:tc>
        <w:tc>
          <w:tcPr>
            <w:tcW w:w="1418" w:type="dxa"/>
          </w:tcPr>
          <w:p w:rsidR="0007182C" w:rsidRPr="00E857E7" w:rsidRDefault="0007182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7E7">
              <w:rPr>
                <w:rFonts w:ascii="Times New Roman" w:hAnsi="Times New Roman" w:cs="Times New Roman"/>
                <w:sz w:val="18"/>
                <w:szCs w:val="18"/>
              </w:rPr>
              <w:t xml:space="preserve">Началниците на отдели, които са упълномощени за работа с инструмента „АРАХНЕ“; отговорници: Ваня Вълкова и Савина </w:t>
            </w:r>
            <w:proofErr w:type="spellStart"/>
            <w:r w:rsidRPr="00E857E7">
              <w:rPr>
                <w:rFonts w:ascii="Times New Roman" w:hAnsi="Times New Roman" w:cs="Times New Roman"/>
                <w:sz w:val="18"/>
                <w:szCs w:val="18"/>
              </w:rPr>
              <w:t>Моновска</w:t>
            </w:r>
            <w:proofErr w:type="spellEnd"/>
          </w:p>
        </w:tc>
        <w:tc>
          <w:tcPr>
            <w:tcW w:w="1976" w:type="dxa"/>
          </w:tcPr>
          <w:p w:rsidR="0007182C" w:rsidRDefault="00071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в съответствие с НУИОПРР 2014-2020 и Системите за управление и контрол на ОПРР 2014-2020 г.,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ИСУН 2020</w:t>
            </w:r>
          </w:p>
        </w:tc>
        <w:tc>
          <w:tcPr>
            <w:tcW w:w="1976" w:type="dxa"/>
          </w:tcPr>
          <w:p w:rsidR="0007182C" w:rsidRPr="00EB2358" w:rsidRDefault="0007182C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Външен мониторинг на гражданското общество и частния бизнес върху дейността на агенцията с цел по-голяма прозрачност в действията на АПИ</w:t>
            </w:r>
          </w:p>
        </w:tc>
        <w:tc>
          <w:tcPr>
            <w:tcW w:w="1276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Подписан Пакт с НПО „Прозрачност без граници“</w:t>
            </w:r>
          </w:p>
        </w:tc>
        <w:tc>
          <w:tcPr>
            <w:tcW w:w="1418" w:type="dxa"/>
          </w:tcPr>
          <w:p w:rsidR="00A33A51" w:rsidRPr="00F51233" w:rsidRDefault="00A33A51" w:rsidP="00A33A51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 на УС на АПИ; </w:t>
            </w:r>
          </w:p>
          <w:p w:rsidR="00A33A51" w:rsidRPr="00F51233" w:rsidRDefault="00A33A51" w:rsidP="00A33A51">
            <w:pPr>
              <w:pStyle w:val="NoSpacing"/>
              <w:ind w:left="-107" w:right="-108"/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2014-2020</w:t>
            </w:r>
            <w:r w:rsidRPr="00F51233">
              <w:t xml:space="preserve"> </w:t>
            </w:r>
          </w:p>
        </w:tc>
        <w:tc>
          <w:tcPr>
            <w:tcW w:w="1976" w:type="dxa"/>
          </w:tcPr>
          <w:p w:rsidR="00A33A51" w:rsidRPr="00B46556" w:rsidRDefault="00A33A51" w:rsidP="00904BFD">
            <w:pPr>
              <w:widowControl w:val="0"/>
              <w:ind w:left="-10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Подписан Пакт с НПО „Прозрачност без граници“;      Сформиран Комитет за наблюдение на изграждането на АМ "Струма" с представи</w:t>
            </w:r>
            <w:r w:rsidR="00904BFD"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тели на министерства /МТИТС, МРРБ, МФ, МОСВ, Областни администраци</w:t>
            </w:r>
            <w:r w:rsidR="00904BFD"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</w:t>
            </w: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екоорганизации/;           </w:t>
            </w:r>
            <w:r w:rsidR="00904BFD"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                   </w:t>
            </w: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Сформиран Обществен консултативен съвет  с </w:t>
            </w: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участие на браншови организации за </w:t>
            </w:r>
            <w:proofErr w:type="spellStart"/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въвеж</w:t>
            </w:r>
            <w:r w:rsidR="00904BFD"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дане</w:t>
            </w:r>
            <w:proofErr w:type="spellEnd"/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на </w:t>
            </w:r>
            <w:proofErr w:type="spellStart"/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Тол</w:t>
            </w:r>
            <w:proofErr w:type="spellEnd"/>
            <w:r w:rsidRPr="00B465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системата.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Взаимодействие между дирекция „Вътрешен одит“ и дирекция „Анализ на риска и оперативен контрол“ в АПИ при наличие на индикатори за нередност/измама</w:t>
            </w:r>
            <w:r>
              <w:rPr>
                <w:sz w:val="18"/>
                <w:szCs w:val="18"/>
              </w:rPr>
              <w:t>,</w:t>
            </w:r>
            <w:r w:rsidRPr="00F51233">
              <w:rPr>
                <w:sz w:val="18"/>
                <w:szCs w:val="18"/>
              </w:rPr>
              <w:t xml:space="preserve"> установени вследствие на осъществения вътрешен контрол от проверки или такива от външни одитиращи институции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Добре работещи системи за</w:t>
            </w:r>
            <w:r>
              <w:rPr>
                <w:sz w:val="18"/>
                <w:szCs w:val="18"/>
              </w:rPr>
              <w:t xml:space="preserve"> финансово</w:t>
            </w:r>
            <w:r w:rsidRPr="00F51233">
              <w:rPr>
                <w:sz w:val="18"/>
                <w:szCs w:val="18"/>
              </w:rPr>
              <w:t xml:space="preserve"> управление и контрол /СФУК/ с акцент към </w:t>
            </w:r>
            <w:r>
              <w:rPr>
                <w:sz w:val="18"/>
                <w:szCs w:val="18"/>
              </w:rPr>
              <w:t>вътрешните контроли в агенцията</w:t>
            </w:r>
          </w:p>
        </w:tc>
        <w:tc>
          <w:tcPr>
            <w:tcW w:w="1276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</w:tc>
        <w:tc>
          <w:tcPr>
            <w:tcW w:w="1842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Годишен доклад за СФУК, придружен с въпросник за самооценка от ръководството на АПИ</w:t>
            </w:r>
          </w:p>
        </w:tc>
        <w:tc>
          <w:tcPr>
            <w:tcW w:w="1418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after="12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Директор на дирекция „Вътрешен одит“</w:t>
            </w:r>
            <w:r>
              <w:rPr>
                <w:sz w:val="18"/>
                <w:szCs w:val="18"/>
              </w:rPr>
              <w:t xml:space="preserve">; </w:t>
            </w:r>
            <w:r w:rsidRPr="00F51233">
              <w:rPr>
                <w:sz w:val="18"/>
                <w:szCs w:val="18"/>
              </w:rPr>
              <w:t>Директор на дирекция „</w:t>
            </w:r>
            <w:r>
              <w:rPr>
                <w:sz w:val="18"/>
                <w:szCs w:val="18"/>
              </w:rPr>
              <w:t>АРОК</w:t>
            </w:r>
            <w:r w:rsidRPr="00F51233">
              <w:rPr>
                <w:sz w:val="18"/>
                <w:szCs w:val="18"/>
              </w:rPr>
              <w:t xml:space="preserve">“ </w:t>
            </w:r>
          </w:p>
        </w:tc>
        <w:tc>
          <w:tcPr>
            <w:tcW w:w="1976" w:type="dxa"/>
          </w:tcPr>
          <w:p w:rsidR="00B31B41" w:rsidRPr="00B46556" w:rsidRDefault="00B31B41" w:rsidP="00B31B41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B46556">
              <w:rPr>
                <w:sz w:val="18"/>
                <w:szCs w:val="18"/>
              </w:rPr>
              <w:t>Годишният доклад за СФУК е изпра</w:t>
            </w:r>
            <w:r w:rsidR="00B67C2E">
              <w:rPr>
                <w:sz w:val="18"/>
                <w:szCs w:val="18"/>
              </w:rPr>
              <w:t>тен в МРРБ с писмо № 04-16-160/</w:t>
            </w:r>
            <w:r w:rsidRPr="00B46556">
              <w:rPr>
                <w:sz w:val="18"/>
                <w:szCs w:val="18"/>
              </w:rPr>
              <w:t>24.01.2020г.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F51233">
              <w:rPr>
                <w:sz w:val="18"/>
                <w:szCs w:val="18"/>
              </w:rPr>
              <w:t xml:space="preserve"> сград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 xml:space="preserve"> на АПИ</w:t>
            </w:r>
            <w:r>
              <w:rPr>
                <w:sz w:val="18"/>
                <w:szCs w:val="18"/>
              </w:rPr>
              <w:t xml:space="preserve"> и Агенция </w:t>
            </w:r>
            <w:r w:rsidRPr="00920059">
              <w:rPr>
                <w:sz w:val="18"/>
                <w:szCs w:val="18"/>
              </w:rPr>
              <w:t>по геодезия, картография и кадастър</w:t>
            </w:r>
            <w:r>
              <w:rPr>
                <w:sz w:val="18"/>
                <w:szCs w:val="18"/>
              </w:rPr>
              <w:t xml:space="preserve"> (АГКК)</w:t>
            </w:r>
            <w:r w:rsidRPr="00F51233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Предотвратяване на нерегламентирано и</w:t>
            </w:r>
            <w:r>
              <w:rPr>
                <w:sz w:val="18"/>
                <w:szCs w:val="18"/>
              </w:rPr>
              <w:t>знасяне на информация</w:t>
            </w:r>
            <w:r w:rsidRPr="00F51233">
              <w:rPr>
                <w:sz w:val="18"/>
                <w:szCs w:val="18"/>
              </w:rPr>
              <w:t xml:space="preserve"> и осъществяване на корупционни </w:t>
            </w: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418" w:type="dxa"/>
          </w:tcPr>
          <w:p w:rsidR="00A33A51" w:rsidRDefault="00A33A51" w:rsidP="00A33A51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 Директор на дирекция „</w:t>
            </w:r>
            <w:proofErr w:type="spellStart"/>
            <w:r w:rsidRPr="00F51233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F51233">
              <w:rPr>
                <w:sz w:val="18"/>
                <w:szCs w:val="18"/>
              </w:rPr>
              <w:t>тивно</w:t>
            </w:r>
            <w:proofErr w:type="spellEnd"/>
            <w:r w:rsidRPr="00F51233">
              <w:rPr>
                <w:sz w:val="18"/>
                <w:szCs w:val="18"/>
              </w:rPr>
              <w:t xml:space="preserve"> обслужване, човешки ресурси и управле</w:t>
            </w:r>
            <w:r>
              <w:rPr>
                <w:sz w:val="18"/>
                <w:szCs w:val="18"/>
              </w:rPr>
              <w:t>ние на собствеността“;</w:t>
            </w:r>
          </w:p>
          <w:p w:rsidR="00A33A51" w:rsidRPr="00F51233" w:rsidRDefault="00A33A51" w:rsidP="00A33A51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Изпълнителен директор на АГКК </w:t>
            </w:r>
          </w:p>
        </w:tc>
        <w:tc>
          <w:tcPr>
            <w:tcW w:w="1976" w:type="dxa"/>
          </w:tcPr>
          <w:p w:rsidR="00A33A51" w:rsidRPr="00B46556" w:rsidRDefault="003540A7" w:rsidP="00A33A51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B46556">
              <w:rPr>
                <w:sz w:val="18"/>
                <w:szCs w:val="18"/>
              </w:rPr>
              <w:t>В АПИ и АГКК се извършва постоянно</w:t>
            </w:r>
            <w:r w:rsidR="00A33A51" w:rsidRPr="00B46556">
              <w:rPr>
                <w:sz w:val="18"/>
                <w:szCs w:val="18"/>
              </w:rPr>
              <w:t xml:space="preserve"> видеонаблюдение</w:t>
            </w:r>
            <w:r w:rsidR="00B31B41" w:rsidRPr="00B46556">
              <w:rPr>
                <w:sz w:val="18"/>
                <w:szCs w:val="18"/>
              </w:rPr>
              <w:t xml:space="preserve"> и контрол на достъпа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A33A51" w:rsidRPr="00025A55" w:rsidRDefault="00A33A51" w:rsidP="00A33A5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Въвеждане на ротационен принцип при определяне на отговорен експерт и членовете на комисиите за предоставяне на АУ35 „Издаване на разрешение за оценяване на строителни продукти и на разрешение за издаване на технически одобрения и оценки на строителни продукти“ и за  упражняване на контрол върху дейността на  лицата за оценяване на строителни продукти</w:t>
            </w:r>
          </w:p>
        </w:tc>
        <w:tc>
          <w:tcPr>
            <w:tcW w:w="1701" w:type="dxa"/>
            <w:gridSpan w:val="2"/>
          </w:tcPr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276" w:type="dxa"/>
          </w:tcPr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418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Pr="00AD611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976" w:type="dxa"/>
          </w:tcPr>
          <w:p w:rsidR="00A33A51" w:rsidRPr="002962D6" w:rsidRDefault="00A33A51" w:rsidP="00D92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При определяне на отговорните експерти е спазен принципа на ротация. Няма подадени жалби от лицата за оценяване на строителни продукти и от икономически оператори. През 2019 г. не са отнемани разрешения</w:t>
            </w:r>
          </w:p>
        </w:tc>
        <w:tc>
          <w:tcPr>
            <w:tcW w:w="1976" w:type="dxa"/>
          </w:tcPr>
          <w:p w:rsidR="00A33A51" w:rsidRPr="008438B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Недопускане на индивидуална комуникация между заявители – физически лица на административна услуга 17 (АУ-17) и служителите от дирекция „</w:t>
            </w:r>
            <w:proofErr w:type="spellStart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Геозащита</w:t>
            </w:r>
            <w:proofErr w:type="spellEnd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A33A51" w:rsidRPr="000073D8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0073D8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Ограничаване възможността на  субективния фактор да влияе върху процеса  и решението относно предоставяне на услугата</w:t>
            </w:r>
          </w:p>
        </w:tc>
        <w:tc>
          <w:tcPr>
            <w:tcW w:w="1276" w:type="dxa"/>
          </w:tcPr>
          <w:p w:rsidR="00A33A51" w:rsidRPr="000073D8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Брой постъпили обработени на хартиен или електронен носител искания за издаване на предварителни съгласия по чл. 96, ал. 3 и ал. 4 от Закон за устройство на територията (ЗУТ)</w:t>
            </w:r>
          </w:p>
        </w:tc>
        <w:tc>
          <w:tcPr>
            <w:tcW w:w="1418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„ГБД“ в МРРБ</w:t>
            </w:r>
          </w:p>
        </w:tc>
        <w:tc>
          <w:tcPr>
            <w:tcW w:w="1976" w:type="dxa"/>
          </w:tcPr>
          <w:p w:rsidR="00380530" w:rsidRPr="002962D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80530"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отчетния </w:t>
            </w: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  <w:r w:rsidR="00380530"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 са постъпили и са обработени</w:t>
            </w: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0530" w:rsidRPr="002962D6">
              <w:rPr>
                <w:rFonts w:ascii="Times New Roman" w:hAnsi="Times New Roman" w:cs="Times New Roman"/>
                <w:sz w:val="18"/>
                <w:szCs w:val="18"/>
              </w:rPr>
              <w:t>68 бр. искания</w:t>
            </w: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380530" w:rsidRPr="002962D6">
              <w:rPr>
                <w:rFonts w:ascii="Times New Roman" w:hAnsi="Times New Roman" w:cs="Times New Roman"/>
                <w:sz w:val="18"/>
                <w:szCs w:val="18"/>
              </w:rPr>
              <w:t>инвестиционни намерения в свлачищни райони, от които са издадени:</w:t>
            </w:r>
          </w:p>
          <w:p w:rsidR="00380530" w:rsidRPr="002962D6" w:rsidRDefault="00380530" w:rsidP="00380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19 бр. </w:t>
            </w:r>
            <w:r w:rsidR="00A33A51"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предварителни съгласия </w:t>
            </w: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за геозащитни мерки и дейности;</w:t>
            </w:r>
          </w:p>
          <w:p w:rsidR="00380530" w:rsidRPr="002962D6" w:rsidRDefault="00380530" w:rsidP="00380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6 бр. предварителни съгласия за строителство на сгради и съоръжения;</w:t>
            </w:r>
          </w:p>
          <w:p w:rsidR="00A33A51" w:rsidRPr="002962D6" w:rsidRDefault="00380530" w:rsidP="00380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43 бр. писма с указания и др.</w:t>
            </w:r>
          </w:p>
        </w:tc>
        <w:tc>
          <w:tcPr>
            <w:tcW w:w="1976" w:type="dxa"/>
          </w:tcPr>
          <w:p w:rsidR="00A33A51" w:rsidRPr="008438B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A33A51" w:rsidRPr="00EB2358" w:rsidTr="0007182C">
        <w:tc>
          <w:tcPr>
            <w:tcW w:w="3227" w:type="dxa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A33A51" w:rsidRPr="00025A55" w:rsidRDefault="00A33A51" w:rsidP="00A33A5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(КИГ)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 в комисията за вписване на кандидатите в регистъра на правоспособните лица за извършване на дейности по кадастър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Прозрачност в дейността на комисията, която разглежда заявленията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регистъра на правоспособните лица за извършване на дейности по кадастър</w:t>
            </w:r>
          </w:p>
        </w:tc>
        <w:tc>
          <w:tcPr>
            <w:tcW w:w="1276" w:type="dxa"/>
          </w:tcPr>
          <w:p w:rsidR="00A33A51" w:rsidRPr="00B47C55" w:rsidRDefault="00A33A51" w:rsidP="00A33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Отменени заповеди за отказ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гистъра на правоспособните лица</w:t>
            </w:r>
          </w:p>
        </w:tc>
        <w:tc>
          <w:tcPr>
            <w:tcW w:w="1418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F5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Pr="00B47C5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„Геодезия, картография и кадастър“ </w:t>
            </w:r>
          </w:p>
        </w:tc>
        <w:tc>
          <w:tcPr>
            <w:tcW w:w="1976" w:type="dxa"/>
          </w:tcPr>
          <w:p w:rsidR="00D83F4B" w:rsidRPr="002962D6" w:rsidRDefault="00A33A51" w:rsidP="00D83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 са </w:t>
            </w:r>
            <w:r w:rsidR="00D83F4B" w:rsidRPr="002962D6">
              <w:rPr>
                <w:rFonts w:ascii="Times New Roman" w:hAnsi="Times New Roman" w:cs="Times New Roman"/>
                <w:sz w:val="18"/>
                <w:szCs w:val="18"/>
              </w:rPr>
              <w:t>девет</w:t>
            </w: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 xml:space="preserve"> комисии за вписване в регистъра на правоспособните лица за извършване на дейности по кадастър. Всички са с участието на представител на КИГ</w:t>
            </w:r>
            <w:r w:rsidR="00D83F4B" w:rsidRPr="002962D6">
              <w:rPr>
                <w:rFonts w:ascii="Times New Roman" w:hAnsi="Times New Roman" w:cs="Times New Roman"/>
                <w:sz w:val="18"/>
                <w:szCs w:val="18"/>
              </w:rPr>
              <w:t>. Издадени са осем отказа за вписване, срещу които не са постъпили обжалвания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A33A51" w:rsidRPr="00EB2358" w:rsidTr="0007182C">
        <w:tc>
          <w:tcPr>
            <w:tcW w:w="3227" w:type="dxa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Насоченост на 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lastRenderedPageBreak/>
              <w:t>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 xml:space="preserve">Крайна цел на </w:t>
            </w:r>
            <w:r w:rsidRPr="00EB2358">
              <w:rPr>
                <w:sz w:val="20"/>
                <w:szCs w:val="20"/>
              </w:rPr>
              <w:lastRenderedPageBreak/>
              <w:t>мярката</w:t>
            </w:r>
          </w:p>
        </w:tc>
        <w:tc>
          <w:tcPr>
            <w:tcW w:w="12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 xml:space="preserve">Срок за </w:t>
            </w:r>
            <w:r w:rsidRPr="00EB2358">
              <w:rPr>
                <w:sz w:val="20"/>
                <w:szCs w:val="20"/>
              </w:rPr>
              <w:lastRenderedPageBreak/>
              <w:t>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>лице</w:t>
            </w:r>
          </w:p>
        </w:tc>
        <w:tc>
          <w:tcPr>
            <w:tcW w:w="1976" w:type="dxa"/>
            <w:shd w:val="clear" w:color="auto" w:fill="FFFFCC"/>
          </w:tcPr>
          <w:p w:rsidR="00A33A51" w:rsidRPr="00025A55" w:rsidRDefault="00A33A51" w:rsidP="00A33A5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lastRenderedPageBreak/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8" w:type="dxa"/>
          </w:tcPr>
          <w:p w:rsidR="00A33A51" w:rsidRPr="00683EE5" w:rsidRDefault="00A33A51" w:rsidP="00A33A51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сайта на ОПРР -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 публикувани:</w:t>
            </w:r>
          </w:p>
          <w:p w:rsidR="00A33A51" w:rsidRDefault="00A33A51" w:rsidP="00A33A51">
            <w:pPr>
              <w:pStyle w:val="ListParagraph"/>
              <w:numPr>
                <w:ilvl w:val="0"/>
                <w:numId w:val="1"/>
              </w:numPr>
              <w:ind w:left="34"/>
              <w:rPr>
                <w:rStyle w:val="Hyperlink"/>
              </w:rPr>
            </w:pP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hyperlink r:id="rId7" w:tgtFrame="_blank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Актуална информация относно най-често срещаните грешки при възлагане на обществени поръчки</w:t>
              </w:r>
            </w:hyperlink>
          </w:p>
          <w:p w:rsidR="00A33A51" w:rsidRDefault="00A33A51" w:rsidP="00A33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Насоки за определяне на финансови корекции относно финансирани от ЕС разходи за несъответствия с приложимите правила за обществени поръчки.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hyperlink r:id="rId9" w:tgtFrame="_blank" w:history="1">
              <w:r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Информация относно Регистрирани нередности и наложени финансови корекции по Оперативна програма „Региони в растеж“ 2014-2020</w:t>
              </w:r>
            </w:hyperlink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C19EF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(ЗКИР, Закон за геодезията и картографията, Наредба № РД-02-20-5 от 15.12.2016 г., Наредба № РД-02-20-4 от 11.10.2016 г., Наредба № РД-02-20-3 от 29.09.2016 г., Тарифа № 14/1998 г. (последно изм. ДВ бр.99/13.12.2016 г.) и др.</w:t>
            </w:r>
          </w:p>
        </w:tc>
        <w:tc>
          <w:tcPr>
            <w:tcW w:w="1701" w:type="dxa"/>
            <w:gridSpan w:val="2"/>
          </w:tcPr>
          <w:p w:rsidR="00A33A51" w:rsidRPr="00264943" w:rsidRDefault="00A33A51" w:rsidP="00A3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Организационен/ кадрови</w:t>
            </w:r>
          </w:p>
        </w:tc>
        <w:tc>
          <w:tcPr>
            <w:tcW w:w="1984" w:type="dxa"/>
          </w:tcPr>
          <w:p w:rsidR="00A33A51" w:rsidRPr="0060558A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8A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нормативните актове в областта на кадастъра и геодезията</w:t>
            </w:r>
          </w:p>
        </w:tc>
        <w:tc>
          <w:tcPr>
            <w:tcW w:w="1276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</w:t>
            </w:r>
          </w:p>
        </w:tc>
        <w:tc>
          <w:tcPr>
            <w:tcW w:w="1418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Pr="00683EE5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дирекция “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тивно</w:t>
            </w:r>
            <w:proofErr w:type="spellEnd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-правно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финансово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обслужване” (АП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  <w:tc>
          <w:tcPr>
            <w:tcW w:w="1976" w:type="dxa"/>
          </w:tcPr>
          <w:p w:rsidR="00A33A51" w:rsidRPr="002962D6" w:rsidRDefault="001F615B" w:rsidP="001F6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2D6">
              <w:rPr>
                <w:rFonts w:ascii="Times New Roman" w:hAnsi="Times New Roman" w:cs="Times New Roman"/>
                <w:sz w:val="18"/>
                <w:szCs w:val="18"/>
              </w:rPr>
              <w:t>Издадени са заповеди и 6 бр. у</w:t>
            </w:r>
            <w:r w:rsidR="00A33A51" w:rsidRPr="002962D6">
              <w:rPr>
                <w:rFonts w:ascii="Times New Roman" w:hAnsi="Times New Roman" w:cs="Times New Roman"/>
                <w:sz w:val="18"/>
                <w:szCs w:val="18"/>
              </w:rPr>
              <w:t>казателни писма до СГКК по отношение уеднаквяване дейността на всички служби при прилагане на нормативните актове в областта на кадастъра и геодезията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Други мерки с оглед специфичните рискове в съответните ведомства</w:t>
            </w:r>
          </w:p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A33A51" w:rsidRPr="00E97D41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shd w:val="clear" w:color="auto" w:fill="FFFFCC"/>
          </w:tcPr>
          <w:p w:rsidR="00A33A51" w:rsidRPr="00E97D41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A33A51" w:rsidRPr="00EB2358" w:rsidRDefault="00A33A51" w:rsidP="00A33A5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A33A51" w:rsidRPr="00025A55" w:rsidRDefault="00A33A51" w:rsidP="00A33A5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A33A51" w:rsidRPr="00EB2358" w:rsidRDefault="00A33A51" w:rsidP="00A33A51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Pr="00D61244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изпълнение на служебните си задължения, и имената им не се оповестяват на бенефициента, както и не осъществяват преки контакти с бенефициенти</w:t>
            </w:r>
          </w:p>
        </w:tc>
        <w:tc>
          <w:tcPr>
            <w:tcW w:w="1701" w:type="dxa"/>
            <w:gridSpan w:val="2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276" w:type="dxa"/>
          </w:tcPr>
          <w:p w:rsidR="00A33A51" w:rsidRPr="00C03827" w:rsidRDefault="00A33A51" w:rsidP="00A33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8" w:type="dxa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</w:tc>
        <w:tc>
          <w:tcPr>
            <w:tcW w:w="1976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– УО на ОПРР счита, че защитата на личността на всички експерти е от изключителна важност. Не се допуска разпространение на имената на служителите, които извършват администриране на сигнали за нередности да стават известни на бенефициента с оглед защитата на личността на експертите.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</w:t>
            </w:r>
          </w:p>
        </w:tc>
        <w:tc>
          <w:tcPr>
            <w:tcW w:w="1701" w:type="dxa"/>
            <w:gridSpan w:val="2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276" w:type="dxa"/>
          </w:tcPr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8" w:type="dxa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A33A51" w:rsidRDefault="00A33A51" w:rsidP="00A33A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Изпълнено –  </w:t>
            </w:r>
          </w:p>
          <w:p w:rsidR="00A33A51" w:rsidRDefault="00A33A51" w:rsidP="00A33A51">
            <w:pPr>
              <w:ind w:right="-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НУИОПРР 2014-2020 версия 6 от м. Април 2017 и бяха променени контролните листа и беше въведена проверка в системата АРАХНЕ. С версии 9 от м.февруари 2019 и 9.1 от юни 2019 се въведоха нови актуални контролни листове за проверка на законосъобразността на възлагането на обществени поръчки и сключения договор с изпълнител. Въведоха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се и контролни листа за проверка на законосъобразност на сключения анекс.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701" w:type="dxa"/>
            <w:gridSpan w:val="2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276" w:type="dxa"/>
          </w:tcPr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A33A51" w:rsidRPr="00C03827" w:rsidRDefault="00A33A51" w:rsidP="00A33A5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8" w:type="dxa"/>
          </w:tcPr>
          <w:p w:rsidR="00A33A51" w:rsidRPr="00A30AC0" w:rsidRDefault="00A33A51" w:rsidP="00A33A5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36B3">
              <w:rPr>
                <w:rFonts w:ascii="Times New Roman" w:hAnsi="Times New Roman" w:cs="Times New Roman"/>
                <w:sz w:val="18"/>
                <w:szCs w:val="18"/>
              </w:rPr>
              <w:t>Началници на отдели - ползватели на бюджетните линии на УО по Приоритетна ос "Техническа помощ" в ГД „СППРР" в МРРБ</w:t>
            </w:r>
          </w:p>
        </w:tc>
        <w:tc>
          <w:tcPr>
            <w:tcW w:w="1976" w:type="dxa"/>
          </w:tcPr>
          <w:p w:rsidR="00536B54" w:rsidRPr="00536B54" w:rsidRDefault="00536B54" w:rsidP="00536B54">
            <w:pPr>
              <w:ind w:right="-117"/>
              <w:rPr>
                <w:rFonts w:ascii="Times New Roman" w:hAnsi="Times New Roman" w:cs="Times New Roman"/>
                <w:sz w:val="18"/>
                <w:szCs w:val="18"/>
              </w:rPr>
            </w:pPr>
            <w:r w:rsidRPr="00536B54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се непрекъснато – в случаи, когато бенефициент е УО на ОПРР, осъществяването на проверките и изготвянето на предложения за верификация на разходи по бюджетни линии по </w:t>
            </w:r>
            <w:proofErr w:type="spellStart"/>
            <w:r w:rsidRPr="00536B5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536B54">
              <w:rPr>
                <w:rFonts w:ascii="Times New Roman" w:hAnsi="Times New Roman" w:cs="Times New Roman"/>
                <w:sz w:val="18"/>
                <w:szCs w:val="18"/>
              </w:rPr>
              <w:t xml:space="preserve"> „Техническа помощ“ на ОПРР 2014-2020, същите се извършват от външен изпълнител в съответствие със записаното в НУИОПРР 2014-2020. С Докладна записка ПРР-1143/13.03.2019 г., утвърдена от министър на 14.03.2019 г. е одобрено прилагане на временна мярка за ангажиране на Дирекция „Вътрешен одит“ в Министерство на регионалното развитие и благоустройството в процеса по верификация на разходите по бюджетните линии, по които Главна дирекция „Стратегическо планиране и програми за регионално развитие“ е бенефициент, поради прекратяване на договора с външен изпълнител.</w:t>
            </w:r>
          </w:p>
          <w:p w:rsidR="00A33A51" w:rsidRDefault="00536B54" w:rsidP="00536B54">
            <w:pPr>
              <w:ind w:right="-117"/>
              <w:rPr>
                <w:rFonts w:ascii="Times New Roman" w:hAnsi="Times New Roman" w:cs="Times New Roman"/>
                <w:sz w:val="18"/>
                <w:szCs w:val="18"/>
              </w:rPr>
            </w:pPr>
            <w:r w:rsidRPr="00536B54">
              <w:rPr>
                <w:rFonts w:ascii="Times New Roman" w:hAnsi="Times New Roman" w:cs="Times New Roman"/>
                <w:sz w:val="18"/>
                <w:szCs w:val="18"/>
              </w:rPr>
              <w:t xml:space="preserve">С РМС 567/03.10.2019 г. е възложено на </w:t>
            </w:r>
            <w:r w:rsidRPr="00536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Дирекция НФ при МФ да извършва верификация на разходите на УО на ОПРР в качеството му на бенефициент по бюджетните линии на ПО 8 с изключение на бюджетна линия BG16RFOP001-8.002-0001-С02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2A3353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3353">
              <w:rPr>
                <w:rFonts w:ascii="Times New Roman" w:hAnsi="Times New Roman" w:cs="Times New Roman"/>
                <w:sz w:val="18"/>
                <w:szCs w:val="18"/>
              </w:rPr>
              <w:t>недр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яване на</w:t>
            </w:r>
            <w:r w:rsidRPr="002A3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Система за управление на борбата с подкупването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, 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разработена по модела на БДС/</w:t>
            </w:r>
            <w:r w:rsidRPr="002A3353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ISO 37001:2016</w:t>
            </w:r>
          </w:p>
        </w:tc>
        <w:tc>
          <w:tcPr>
            <w:tcW w:w="1701" w:type="dxa"/>
            <w:gridSpan w:val="2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Ефективно и ефикасно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на информационните активи</w:t>
            </w:r>
          </w:p>
        </w:tc>
        <w:tc>
          <w:tcPr>
            <w:tcW w:w="1276" w:type="dxa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A33A51" w:rsidRPr="00A30AC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Внедрена система</w:t>
            </w:r>
          </w:p>
        </w:tc>
        <w:tc>
          <w:tcPr>
            <w:tcW w:w="1418" w:type="dxa"/>
          </w:tcPr>
          <w:p w:rsidR="00A33A51" w:rsidRDefault="00A33A51" w:rsidP="00A33A51">
            <w:pPr>
              <w:ind w:left="-10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дирекция 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ИОСС“;</w:t>
            </w:r>
          </w:p>
          <w:p w:rsidR="00A33A51" w:rsidRPr="00A30AC0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Веселин Пеев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главен експерт в о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тдел "Информационно обслужване"</w:t>
            </w:r>
          </w:p>
        </w:tc>
        <w:tc>
          <w:tcPr>
            <w:tcW w:w="1976" w:type="dxa"/>
          </w:tcPr>
          <w:p w:rsidR="00A33A51" w:rsidRPr="00597B4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Дирекция „ИОСС“ е изготвила концепция за създаване на система</w:t>
            </w:r>
            <w:r w:rsidRPr="00597B49">
              <w:t xml:space="preserve"> </w:t>
            </w: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за управление на борбата с подкупването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Промяна във вътрешните правила на дирекция „Технически правила и норми“ с оглед засилване на контрола при разработване на нормативен акт</w:t>
            </w:r>
          </w:p>
        </w:tc>
        <w:tc>
          <w:tcPr>
            <w:tcW w:w="1701" w:type="dxa"/>
            <w:gridSpan w:val="2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Минимизиране на риска от въвеждане на  изисквания, които обслужват тесен кръг от лица при разработване на акта.</w:t>
            </w:r>
          </w:p>
        </w:tc>
        <w:tc>
          <w:tcPr>
            <w:tcW w:w="1276" w:type="dxa"/>
          </w:tcPr>
          <w:p w:rsidR="00A33A51" w:rsidRPr="00C03827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01.01.2019-</w:t>
            </w: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842" w:type="dxa"/>
          </w:tcPr>
          <w:p w:rsidR="00A33A51" w:rsidRPr="00C03827" w:rsidRDefault="00A33A51" w:rsidP="0028494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Подадени жалби </w:t>
            </w:r>
            <w:r w:rsidR="00284946">
              <w:rPr>
                <w:rFonts w:ascii="Times New Roman" w:hAnsi="Times New Roman" w:cs="Times New Roman"/>
                <w:sz w:val="18"/>
                <w:szCs w:val="18"/>
              </w:rPr>
              <w:t>във връзка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изискван</w:t>
            </w:r>
            <w:r w:rsidR="00284946">
              <w:rPr>
                <w:rFonts w:ascii="Times New Roman" w:hAnsi="Times New Roman" w:cs="Times New Roman"/>
                <w:sz w:val="18"/>
                <w:szCs w:val="18"/>
              </w:rPr>
              <w:t>ия,</w:t>
            </w:r>
            <w:r w:rsidR="00284946"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 които обслужват тесен кръг от лица при разработване на акта</w:t>
            </w:r>
          </w:p>
        </w:tc>
        <w:tc>
          <w:tcPr>
            <w:tcW w:w="1418" w:type="dxa"/>
          </w:tcPr>
          <w:p w:rsidR="00A33A51" w:rsidRDefault="00A33A51" w:rsidP="00A33A5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ТПН</w:t>
            </w: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A33A51" w:rsidRPr="00C03827" w:rsidRDefault="00A33A51" w:rsidP="00A33A5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Началник на отдел „Хармонизация на техническата нормативна уредба“</w:t>
            </w:r>
          </w:p>
        </w:tc>
        <w:tc>
          <w:tcPr>
            <w:tcW w:w="1976" w:type="dxa"/>
          </w:tcPr>
          <w:p w:rsidR="00A33A51" w:rsidRPr="00597B49" w:rsidRDefault="00064D40" w:rsidP="00064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 xml:space="preserve">В новите </w:t>
            </w:r>
            <w:r w:rsidR="00A33A51" w:rsidRPr="00597B49">
              <w:rPr>
                <w:rFonts w:ascii="Times New Roman" w:hAnsi="Times New Roman" w:cs="Times New Roman"/>
                <w:sz w:val="18"/>
                <w:szCs w:val="18"/>
              </w:rPr>
              <w:t>Вътрешни правила на дирекция ТПН</w:t>
            </w: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 xml:space="preserve"> са предвидени мерки за повишаване на контрола при разработване на нормативни актове. </w:t>
            </w:r>
          </w:p>
          <w:p w:rsidR="00064D40" w:rsidRPr="00597B49" w:rsidRDefault="00064D40" w:rsidP="00064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Не са постъпвали жалби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Упражняване на контрол върху актуалността на Регистрите на доставчиците на е-услуги за електронно събиране на такси за изминато разстояние и вътрешната нормативна база създадена в практиката.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Pr="00F51233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неточна и подвеждаща 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 извършваната услуга</w:t>
            </w:r>
          </w:p>
        </w:tc>
        <w:tc>
          <w:tcPr>
            <w:tcW w:w="1276" w:type="dxa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Постоянен </w:t>
            </w:r>
          </w:p>
        </w:tc>
        <w:tc>
          <w:tcPr>
            <w:tcW w:w="1842" w:type="dxa"/>
          </w:tcPr>
          <w:p w:rsidR="00A33A51" w:rsidRPr="00F51233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Постъпили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сигнали по отношение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качеството на предлаганата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A33A51" w:rsidRPr="00F51233" w:rsidRDefault="00A33A51" w:rsidP="00A33A51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Национално </w:t>
            </w:r>
            <w:proofErr w:type="spellStart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(НТУ);</w:t>
            </w:r>
          </w:p>
          <w:p w:rsidR="00A33A51" w:rsidRPr="00F51233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АРОК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A33A51" w:rsidRPr="00597B4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На електронната страница на АПИ бутон Тоll.bg е качена информация за контрола и реда на взаимодействие между институциите и гражданите, така също  и  ползвателите на услугата.</w:t>
            </w:r>
          </w:p>
          <w:p w:rsidR="00A33A51" w:rsidRPr="00597B4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Получени са 7 бр. сигнали на е-адрес info@bgtoll.bg по отношение на качеството на предлаганата е-услуга.               Същите са заведени като преписки  в деловодната система на НТУ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3227" w:type="dxa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Изготвяне на Инструкция, с която 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 регламентира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механиз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м за взаимодействие и отчетност между АПИ и  външните институции /МВР,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Агенция „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Митници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“, </w:t>
            </w:r>
            <w:r w:rsidRPr="000679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“Национална агенция по приходите (НАП)</w:t>
            </w:r>
            <w:r w:rsidRPr="0006797A">
              <w:rPr>
                <w:rFonts w:ascii="Times New Roman" w:hAnsi="Times New Roman" w:cs="Times New Roman"/>
                <w:sz w:val="18"/>
                <w:szCs w:val="18"/>
              </w:rPr>
              <w:t xml:space="preserve">/,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които са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пряко свързани с прилагане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-системата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A33A51" w:rsidRPr="00F51233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Предпазване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съз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даване на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ханизъм за корупционни практики</w:t>
            </w:r>
          </w:p>
        </w:tc>
        <w:tc>
          <w:tcPr>
            <w:tcW w:w="1276" w:type="dxa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31.12.2019 г.</w:t>
            </w:r>
          </w:p>
        </w:tc>
        <w:tc>
          <w:tcPr>
            <w:tcW w:w="1842" w:type="dxa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Инструкция </w:t>
            </w:r>
          </w:p>
        </w:tc>
        <w:tc>
          <w:tcPr>
            <w:tcW w:w="1418" w:type="dxa"/>
          </w:tcPr>
          <w:p w:rsidR="00A33A51" w:rsidRPr="00F51233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 на АПИ;</w:t>
            </w:r>
          </w:p>
          <w:p w:rsidR="00A33A51" w:rsidRPr="00F51233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НТУ</w:t>
            </w:r>
          </w:p>
        </w:tc>
        <w:tc>
          <w:tcPr>
            <w:tcW w:w="1976" w:type="dxa"/>
          </w:tcPr>
          <w:p w:rsidR="00A33A51" w:rsidRPr="00597B4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Мярката е частично </w:t>
            </w:r>
            <w:r w:rsidRPr="00597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изпълнена и към момента е сформирана междуведомствена работна група, на която се обсъждат конкретни предложения във връзка с изготвяне на инструкцията</w:t>
            </w:r>
          </w:p>
        </w:tc>
        <w:tc>
          <w:tcPr>
            <w:tcW w:w="1976" w:type="dxa"/>
          </w:tcPr>
          <w:p w:rsidR="00A33A51" w:rsidRPr="001247ED" w:rsidRDefault="00A33A51" w:rsidP="0084640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1247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Поради отлагане на </w:t>
            </w:r>
            <w:r w:rsidRPr="001247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национално ниво, въвеждането на </w:t>
            </w:r>
            <w:proofErr w:type="spellStart"/>
            <w:r w:rsidRPr="001247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Тол</w:t>
            </w:r>
            <w:proofErr w:type="spellEnd"/>
            <w:r w:rsidRPr="001247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-системата </w:t>
            </w:r>
            <w:r w:rsidR="008464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ще функционира от 01.03.2020 г., респективно </w:t>
            </w:r>
            <w:r w:rsidR="00156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през 2020 г. </w:t>
            </w:r>
            <w:r w:rsidR="008464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ще бъде изготвен окончателния вариант на инструкцията</w:t>
            </w:r>
          </w:p>
        </w:tc>
      </w:tr>
      <w:tr w:rsidR="00A33A51" w:rsidRPr="00EB2358" w:rsidTr="0007182C">
        <w:tc>
          <w:tcPr>
            <w:tcW w:w="3227" w:type="dxa"/>
          </w:tcPr>
          <w:p w:rsidR="00A33A51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Организиране на работни срещи на СГКК за обсъждане и налагане на добри практики в сферата на административното обслужване</w:t>
            </w:r>
          </w:p>
        </w:tc>
        <w:tc>
          <w:tcPr>
            <w:tcW w:w="1701" w:type="dxa"/>
            <w:gridSpan w:val="2"/>
          </w:tcPr>
          <w:p w:rsidR="00A33A51" w:rsidRPr="00F51233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Подобряване работата на СГКК</w:t>
            </w:r>
          </w:p>
        </w:tc>
        <w:tc>
          <w:tcPr>
            <w:tcW w:w="1276" w:type="dxa"/>
          </w:tcPr>
          <w:p w:rsidR="00A33A51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</w:tcPr>
          <w:p w:rsidR="00A33A51" w:rsidRDefault="00A33A51" w:rsidP="00A33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Брой на постъпили сигнали</w:t>
            </w:r>
          </w:p>
        </w:tc>
        <w:tc>
          <w:tcPr>
            <w:tcW w:w="1418" w:type="dxa"/>
          </w:tcPr>
          <w:p w:rsidR="00A33A51" w:rsidRPr="00AE1CDF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A33A51" w:rsidRDefault="00A33A51" w:rsidP="00A33A5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E1CDF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“АПФО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</w:tcPr>
          <w:p w:rsidR="00A33A51" w:rsidRPr="00597B49" w:rsidRDefault="00A33A51" w:rsidP="00E4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През отчетния период са проведени срещи със СГКК</w:t>
            </w:r>
            <w:r w:rsidRPr="00597B49">
              <w:t xml:space="preserve"> </w:t>
            </w:r>
            <w:r w:rsidRPr="00597B49">
              <w:rPr>
                <w:rFonts w:ascii="Times New Roman" w:hAnsi="Times New Roman" w:cs="Times New Roman"/>
                <w:sz w:val="18"/>
                <w:szCs w:val="18"/>
              </w:rPr>
              <w:t>за обсъждане и налагане на добри практики в сферата на административното обслужване</w:t>
            </w:r>
            <w:r w:rsidR="00E4106D" w:rsidRPr="00597B49">
              <w:rPr>
                <w:rFonts w:ascii="Times New Roman" w:hAnsi="Times New Roman" w:cs="Times New Roman"/>
                <w:sz w:val="18"/>
                <w:szCs w:val="18"/>
              </w:rPr>
              <w:t>. Наблюдава се намаляване на общия брой на постъпилите сигнали</w:t>
            </w:r>
          </w:p>
        </w:tc>
        <w:tc>
          <w:tcPr>
            <w:tcW w:w="1976" w:type="dxa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Мерки за публичност</w:t>
            </w:r>
          </w:p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3260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A33A51" w:rsidRPr="00025A55" w:rsidRDefault="00A33A51" w:rsidP="00A33A5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shd w:val="clear" w:color="auto" w:fill="FFFFCC"/>
          </w:tcPr>
          <w:p w:rsidR="00A33A51" w:rsidRPr="000124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12458">
              <w:rPr>
                <w:rFonts w:ascii="Times New Roman" w:hAnsi="Times New Roman" w:cs="Times New Roman"/>
                <w:sz w:val="20"/>
                <w:szCs w:val="20"/>
              </w:rPr>
              <w:t>Неизпълнение и причини при неизпълнение</w:t>
            </w: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6228EB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3656" w:type="dxa"/>
            <w:gridSpan w:val="3"/>
          </w:tcPr>
          <w:p w:rsidR="00A33A51" w:rsidRPr="006228EB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2"/>
          </w:tcPr>
          <w:p w:rsidR="00A33A51" w:rsidRPr="006228EB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 xml:space="preserve">Ръководител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Ин</w:t>
            </w: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спекторат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 xml:space="preserve"> на МРРБ</w:t>
            </w:r>
          </w:p>
        </w:tc>
        <w:tc>
          <w:tcPr>
            <w:tcW w:w="1976" w:type="dxa"/>
            <w:shd w:val="clear" w:color="auto" w:fill="auto"/>
          </w:tcPr>
          <w:p w:rsidR="00A33A51" w:rsidRPr="002B6050" w:rsidRDefault="00A33A51" w:rsidP="00A33A51">
            <w:pPr>
              <w:widowControl w:val="0"/>
              <w:ind w:right="-11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2B6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Раздел „Антикорупция“ постоянно се актуализира и в него се публикуват</w:t>
            </w:r>
            <w:r w:rsidRPr="002B6050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разработените актове с антикорупционна насоченост, антикорупционни планове и отчети за тяхното изпълнение, публичен регистър по §2, ал. 3 от ДР на ЗПКОНПИ и чл. 4, ал. 2 от НОРИПДУКИ и други документи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резултатите от работата на оценителните комисии след одобрението им от Съвместния комитет за наблюдение по програмата (СКН)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След одобрение от СКН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„Комуникация и връзки с обществеността“ (КВО) към Съвместните секретариати; 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Отдел „Програми ИНТЕРРЕГ-ИПП Трансгранично сътрудничество“ към 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дирекция „УТС“</w:t>
            </w:r>
          </w:p>
        </w:tc>
        <w:tc>
          <w:tcPr>
            <w:tcW w:w="1976" w:type="dxa"/>
            <w:shd w:val="clear" w:color="auto" w:fill="auto"/>
          </w:tcPr>
          <w:p w:rsidR="002B6050" w:rsidRPr="002B6050" w:rsidRDefault="002B6050" w:rsidP="002B60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През 2019 г. на интернет страниците на програмите за трансгранично сътрудничество </w:t>
            </w:r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ИНТЕРРЕГ – ИПП (2014-2020) са </w:t>
            </w:r>
            <w:proofErr w:type="spellStart"/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публи-кувани</w:t>
            </w:r>
            <w:proofErr w:type="spellEnd"/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общо 30 решения на СКН;</w:t>
            </w:r>
          </w:p>
          <w:p w:rsidR="00A33A51" w:rsidRPr="00140E55" w:rsidRDefault="002B6050" w:rsidP="00A33A5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Актуализирани са списъци с класиране на проектни </w:t>
            </w:r>
            <w:proofErr w:type="spellStart"/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предло-жения</w:t>
            </w:r>
            <w:proofErr w:type="spellEnd"/>
            <w:r w:rsidRPr="002B6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вторите покани на програмите</w:t>
            </w:r>
          </w:p>
        </w:tc>
        <w:tc>
          <w:tcPr>
            <w:tcW w:w="1976" w:type="dxa"/>
            <w:shd w:val="clear" w:color="auto" w:fill="auto"/>
          </w:tcPr>
          <w:p w:rsidR="002B6050" w:rsidRPr="00EB2358" w:rsidRDefault="002B6050" w:rsidP="002B605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„КВО“ към Съвместните секретариати; 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A33A51" w:rsidRPr="00140E55" w:rsidRDefault="00A33A51" w:rsidP="00A33A5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Изпълнена </w:t>
            </w:r>
          </w:p>
          <w:p w:rsidR="00A33A51" w:rsidRDefault="00A33A51" w:rsidP="00A33A5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20.03.2019 г. на интернет страницата на МРРБ са публикувани „Указания за начина на възлагане на задължения на членовете на екипите на българските </w:t>
            </w:r>
            <w:proofErr w:type="spellStart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>бенефициери</w:t>
            </w:r>
            <w:proofErr w:type="spellEnd"/>
            <w:r w:rsidRPr="00140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изпълнение на проекти по трансграничните, транснационалните и междурегионалните програми за териториално сътрудничество“</w:t>
            </w:r>
            <w:r w:rsid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E3606" w:rsidRPr="00140E55" w:rsidRDefault="000E3606" w:rsidP="000E360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Публикувани са наръчници за изпълнение на проекти, финансирани по вторите покани за проектни предложения на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рами ИНТЕРРЕГ-ИПП ТГС 2014-2020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Актуализиране на информацията за изпълнението на програмата, включително нейните основни постижения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Експертите „КВО“ към Съвместните секретариати;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развитие и публичност" към дирекция „УТС“;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A33A51" w:rsidRPr="00140E55" w:rsidRDefault="000E3606" w:rsidP="00DF71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специалния раздел на електронната </w:t>
            </w:r>
            <w:proofErr w:type="spellStart"/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>ница</w:t>
            </w:r>
            <w:proofErr w:type="spellEnd"/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програмата ИНТЕРРЕГ-ИПП България-Турция, относно финансира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>ните</w:t>
            </w:r>
            <w:proofErr w:type="spellEnd"/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 са публикувани и на трите езикови версии информации, относно изпълнението на всички приключили </w:t>
            </w:r>
            <w:r w:rsidRPr="000E36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договори за субсидия, съдържащи всички продукти и резултати от проекта, описание на дейностите им, които са онагледени и със съответния снимков материал. Публикувани са и резюмета по всички сключени договори за субсидия,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които са в процес на изпълнение</w:t>
            </w:r>
          </w:p>
        </w:tc>
        <w:tc>
          <w:tcPr>
            <w:tcW w:w="1976" w:type="dxa"/>
            <w:shd w:val="clear" w:color="auto" w:fill="auto"/>
          </w:tcPr>
          <w:p w:rsidR="00A33A51" w:rsidRPr="00140E55" w:rsidRDefault="00A33A51" w:rsidP="00A33A51">
            <w:pPr>
              <w:widowControl w:val="0"/>
              <w:spacing w:line="29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дирекция „УТС“,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ГД „СППРР“</w:t>
            </w:r>
          </w:p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A33A51" w:rsidRDefault="00A33A51" w:rsidP="004C3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Текущо изпълнение при организиране на информационни дни </w:t>
            </w:r>
          </w:p>
        </w:tc>
        <w:tc>
          <w:tcPr>
            <w:tcW w:w="1976" w:type="dxa"/>
            <w:shd w:val="clear" w:color="auto" w:fill="auto"/>
          </w:tcPr>
          <w:p w:rsidR="00A33A51" w:rsidRPr="00140E55" w:rsidRDefault="00A33A51" w:rsidP="00A33A51">
            <w:pPr>
              <w:widowControl w:val="0"/>
              <w:spacing w:line="29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Обучения на бенефициентите по ОПРР- информационни дни по програмата, на  които се предоставя информация на потенциалните бенефициенти за понятието нередност и измама 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 xml:space="preserve">Текущо - при организиране на информационни дни за бенефициентите 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Сектор „Договаряне“ и 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Информационен ден на 01.04.2019 г. в гр. София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„Контрол на обществените поръчки и нередности“ (КОПН) и на отдел „Оценка, информация и публичност“ (ОИП) към ГД „СППРР“</w:t>
            </w:r>
          </w:p>
        </w:tc>
        <w:tc>
          <w:tcPr>
            <w:tcW w:w="1976" w:type="dxa"/>
            <w:shd w:val="clear" w:color="auto" w:fill="auto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е публикувана на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Публикуване на указания към бенефициентите за най-често допусканите нарушения при процедури по възлагане на обществени поръчки</w:t>
            </w:r>
          </w:p>
        </w:tc>
        <w:tc>
          <w:tcPr>
            <w:tcW w:w="3656" w:type="dxa"/>
            <w:gridSpan w:val="3"/>
          </w:tcPr>
          <w:p w:rsidR="00A33A51" w:rsidRPr="008978D9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„КОПН“ и на отдел „ОИП“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е публикувана на</w:t>
            </w:r>
          </w:p>
          <w:p w:rsidR="00A33A51" w:rsidRDefault="00B67C2E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33A5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http://www.bgregio.eu/izpalnenie-na-dogovori/ukazaniya-za-izpalnenie-na-dogovori/ukazaniya-obshtestveni-porachki.aspx</w:t>
              </w:r>
            </w:hyperlink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Разработването от АГКК на проекти на нормативни актове да се извършва  с участието на представители на браншовите организации, професи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оналните организации, заинтересо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ваните ведомства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УАСГ</w:t>
            </w:r>
          </w:p>
        </w:tc>
        <w:tc>
          <w:tcPr>
            <w:tcW w:w="3656" w:type="dxa"/>
            <w:gridSpan w:val="3"/>
          </w:tcPr>
          <w:p w:rsidR="00A33A51" w:rsidRPr="001A55D0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01.01.2019-31.12.2019 г.</w:t>
            </w:r>
          </w:p>
        </w:tc>
        <w:tc>
          <w:tcPr>
            <w:tcW w:w="3260" w:type="dxa"/>
            <w:gridSpan w:val="2"/>
          </w:tcPr>
          <w:p w:rsidR="00A33A51" w:rsidRPr="008978D9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  <w:shd w:val="clear" w:color="auto" w:fill="auto"/>
          </w:tcPr>
          <w:p w:rsidR="00491860" w:rsidRPr="000E3606" w:rsidRDefault="00E4106D" w:rsidP="00A33A51">
            <w:pPr>
              <w:widowControl w:val="0"/>
              <w:ind w:right="-11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</w:t>
            </w:r>
            <w:r w:rsidR="00DF7128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ез отчетния период са приети:</w:t>
            </w:r>
            <w:r w:rsidR="00DF7128" w:rsidRPr="000E3606">
              <w:t xml:space="preserve"> </w:t>
            </w:r>
            <w:r w:rsidR="00DF7128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ЗИД на Закона за кадастъра и имотния регистър  (</w:t>
            </w:r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ЗКИР</w:t>
            </w:r>
            <w:r w:rsidR="00DF7128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)</w:t>
            </w:r>
            <w:r w:rsidR="00491860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</w:p>
          <w:p w:rsidR="00A33A51" w:rsidRPr="000E3606" w:rsidRDefault="00491860" w:rsidP="00A33A51">
            <w:pPr>
              <w:widowControl w:val="0"/>
              <w:ind w:right="-11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Постановление за изменение и допълнение на Тарифа 14 </w:t>
            </w:r>
            <w:r w:rsidR="00CF4AB2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за таксите, които се </w:t>
            </w:r>
            <w:r w:rsidR="00CF4AB2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събират в системата на МРРБ и от областните управители;</w:t>
            </w:r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6132AB" w:rsidRPr="000E3606" w:rsidRDefault="00CF4AB2" w:rsidP="00A33A5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Наредба</w:t>
            </w:r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изменение и допълнение на Наредба № РД-02-20-4 от 2016 г. за предоставяне на услуги от</w:t>
            </w: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proofErr w:type="spellStart"/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кадастрал</w:t>
            </w:r>
            <w:r w:rsidR="006132AB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-</w:t>
            </w:r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ната</w:t>
            </w:r>
            <w:proofErr w:type="spellEnd"/>
            <w:r w:rsidR="00A33A51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карта и </w:t>
            </w:r>
            <w:r w:rsidR="006132AB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кадастралните регистри; </w:t>
            </w:r>
          </w:p>
          <w:p w:rsidR="00A33A51" w:rsidRPr="000E3606" w:rsidRDefault="00A33A51" w:rsidP="006132AB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Наредба № 3 за водене и съхраняване на регистъра на лицата, правоспособни да </w:t>
            </w:r>
            <w:r w:rsidR="006132AB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извършват дейности по кадастъра</w:t>
            </w:r>
          </w:p>
          <w:p w:rsidR="00DF7128" w:rsidRPr="000E3606" w:rsidRDefault="00DF7128" w:rsidP="00DF7128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При разработването им са участвали представители на браншовите и професионалните организации и УАСГ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>Осъществяване на публичн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информационни кампании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за разясняване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дейността на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услугите, предоставяни от нея</w:t>
            </w:r>
          </w:p>
        </w:tc>
        <w:tc>
          <w:tcPr>
            <w:tcW w:w="3656" w:type="dxa"/>
            <w:gridSpan w:val="3"/>
          </w:tcPr>
          <w:p w:rsidR="00A33A51" w:rsidRPr="001A55D0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2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Началници на СГКК</w:t>
            </w:r>
          </w:p>
        </w:tc>
        <w:tc>
          <w:tcPr>
            <w:tcW w:w="1976" w:type="dxa"/>
            <w:shd w:val="clear" w:color="auto" w:fill="auto"/>
          </w:tcPr>
          <w:p w:rsidR="00A33A51" w:rsidRPr="000E3606" w:rsidRDefault="00A33A51" w:rsidP="00BC278F">
            <w:pPr>
              <w:widowControl w:val="0"/>
              <w:ind w:right="-1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Проведен</w:t>
            </w:r>
            <w:r w:rsidR="00BC278F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 срещи</w:t>
            </w: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 НСОРБ, районните кметове на СО и с браншови организации в областта на кадастъра и геодезията. </w:t>
            </w:r>
          </w:p>
          <w:p w:rsidR="00A33A51" w:rsidRPr="000E3606" w:rsidRDefault="00A33A51" w:rsidP="00A33A5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електронната страница на АГКК се публикуват новини, видеоклипове и други информационни материали, разясняващи ползата от заявяване и получаване на електронни документи </w:t>
            </w:r>
            <w:r w:rsidR="00BC278F"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 справки, чрез информационната </w:t>
            </w: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система на кадастъра 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специалности, назначени по трудов или граждански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56" w:type="dxa"/>
            <w:gridSpan w:val="3"/>
          </w:tcPr>
          <w:p w:rsidR="00A33A51" w:rsidRPr="001A55D0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3260" w:type="dxa"/>
            <w:gridSpan w:val="2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на </w:t>
            </w:r>
            <w:r w:rsidRPr="00D47036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за национален строителен контрол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(ДНСК);</w:t>
            </w:r>
          </w:p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„Оперативна дейност и контрол“ 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ОДК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3A51" w:rsidRPr="001A55D0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„Специализирано обслужване, регистър консултанти“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СОРК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A33A51" w:rsidRPr="000E3606" w:rsidRDefault="00A33A51" w:rsidP="00A33A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се изпълнява постоянно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9215F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56" w:type="dxa"/>
            <w:gridSpan w:val="3"/>
          </w:tcPr>
          <w:p w:rsidR="00A33A51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A33A51" w:rsidRPr="009215FC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2"/>
          </w:tcPr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A33A51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„Финансово, а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обслужване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33A51" w:rsidRPr="009215F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„Административно- правно обслужване, координация и отчет“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АПОКО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A33A51" w:rsidRPr="000E3606" w:rsidRDefault="00A33A51" w:rsidP="00A33A5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</w:tcPr>
          <w:p w:rsidR="00A33A51" w:rsidRPr="009215F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56" w:type="dxa"/>
            <w:gridSpan w:val="3"/>
          </w:tcPr>
          <w:p w:rsidR="00A33A51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A33A51" w:rsidRPr="009215FC" w:rsidRDefault="00A33A51" w:rsidP="00A33A5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2"/>
          </w:tcPr>
          <w:p w:rsidR="00A33A51" w:rsidRPr="006A622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A33A51" w:rsidRPr="006A622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3A51" w:rsidRPr="009215FC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отдел „АПОКО“</w:t>
            </w:r>
          </w:p>
        </w:tc>
        <w:tc>
          <w:tcPr>
            <w:tcW w:w="1976" w:type="dxa"/>
            <w:shd w:val="clear" w:color="auto" w:fill="auto"/>
          </w:tcPr>
          <w:p w:rsidR="00A33A51" w:rsidRPr="000E3606" w:rsidRDefault="00A33A51" w:rsidP="00A33A5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E36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shd w:val="clear" w:color="auto" w:fill="auto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15400" w:type="dxa"/>
            <w:gridSpan w:val="9"/>
            <w:shd w:val="clear" w:color="auto" w:fill="92D050"/>
          </w:tcPr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A33A51" w:rsidRPr="00EB2358" w:rsidRDefault="00A33A51" w:rsidP="00A33A5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A33A51" w:rsidRPr="00EB2358" w:rsidTr="0007182C">
        <w:tc>
          <w:tcPr>
            <w:tcW w:w="4532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916" w:type="dxa"/>
            <w:gridSpan w:val="5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3952" w:type="dxa"/>
            <w:gridSpan w:val="2"/>
            <w:shd w:val="clear" w:color="auto" w:fill="FFFFCC"/>
          </w:tcPr>
          <w:p w:rsidR="00A33A51" w:rsidRPr="00EB2358" w:rsidRDefault="00A33A51" w:rsidP="00A33A5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A33A51" w:rsidRPr="00EB2358" w:rsidTr="0007182C">
        <w:tc>
          <w:tcPr>
            <w:tcW w:w="4532" w:type="dxa"/>
            <w:gridSpan w:val="2"/>
            <w:shd w:val="clear" w:color="auto" w:fill="auto"/>
          </w:tcPr>
          <w:p w:rsidR="00A33A51" w:rsidRPr="00CC492F" w:rsidRDefault="00A33A51" w:rsidP="00A33A51">
            <w:pPr>
              <w:widowControl w:val="0"/>
              <w:spacing w:line="295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C49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Приведени са обучения по седем теми</w:t>
            </w:r>
          </w:p>
        </w:tc>
        <w:tc>
          <w:tcPr>
            <w:tcW w:w="6916" w:type="dxa"/>
            <w:gridSpan w:val="5"/>
            <w:shd w:val="clear" w:color="auto" w:fill="auto"/>
          </w:tcPr>
          <w:p w:rsidR="00A33A51" w:rsidRPr="000E360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Прогнозиране на потребностите и планиране на обществени поръчки: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Светлана Николова Димитрова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Латинка Николаева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Никовска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Елисавета Любенова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Черешарова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Георги Николаев Нешков – старши експерт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Разработване на антикорупционен план. Отчитане на изпълнението на антикорупционните планове: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Алентинова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Христова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Ива Владимирова Димитрова – младши експерт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Прилагане на Закона за обществените поръчки: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Латинка Николаева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Никовска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Мерки срещу изпирането на пари: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Димитър Петров Атанасов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Станислава Дочева Михайлова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Стоян Георгиев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Канатов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ръководител СТС България-Сърбия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Георги Здравков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Годинов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Боряна Илиева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Войчева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-Ненкова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Веселина Евгениева Терзийска – главен секретар на МРРБ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Пенка Христова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Врачева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-Пенчева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Светлана Николова Димитрова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Ирена Николова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Радованова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държавен инспектор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Мина Николова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Рударова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ръководител на Инспектората ва МРРБ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Николай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Дийчев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Георгиев – държавен инспектор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Мартина Огнянова Тодорова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Мария Каменова Тодорова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Нина Стоянова Симеонова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Валентин Генчев Гетов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Иваничка Здравкова Христова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Кристиян Иванов Кирилов – главен вътрешен одитор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Цветанка Борисова Илчева – държавен вътрешен одитор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Десислава Георгиева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Георгиева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Иванка Николаева Виденова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Любомира Теофилова Гълъбова – финансов контрольор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Николай Ламбов Николов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Стефка Тенева Пейчева-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Захарян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Димчо Русков Димов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Кристина Атанасова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Цалова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Вяра Чавдарова Минчева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Светла Николаева Христова – държавен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Гергана Рашева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Благиева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Вержиния Димитрова Милева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Живка Александрова Георгиева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Ирена Георгиева Богданова-Христова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Невена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Диянова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Иванова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Марияна Панайотова Костадинова – финансов контрольор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Мариела Николова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Търнева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Татяна Йорданова Червенкова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Лилия Миленова Белчева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Соня Манолова Стаменова – младши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Теодора Няголова Маркова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Силвия Маринова Добрева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Кирил Любомиров Величков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Лилия Иванова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Бидова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счетоводител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Дима Георгиева Лекова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Елена Николова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Мацова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Любка Любенова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Сокачева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Десислава Григорова Ганева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Мария Владимирова Григорова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Юра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Петкова Йорданова-Витанова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Филипа Илиева Паскалева – финансов контрольор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Лили Петрова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Ставрова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-Стоилова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Албена Иванова Лалева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Боянка Цанкова Георгиева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Красимира Валентинова Стоянова-Пейкова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Богиня Илиева Маноилова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Диана Николаева Арнаудова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Дорка Димитрова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Вучелийска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финансов контрольор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Николайй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Нанков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Нанков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заместник-министър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Тамара Александрова Кулева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Антонина Маринова Дончева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Тодор Атанасов Стоянов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Даниела Иванова Петрова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Христо Колев Христов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Иван Недков Делчев – ръководител СТС България-Турция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Даниела Георгиева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Гюрджеклиева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Станка Георгиева Димитрова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Ваня Николова Петкова – главен инспектор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Венциславова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Димитрова – държавен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Венцислав Петров Христов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Дияна Петрова Божкова-Ранкова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Пенчо Анчев Димитров –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Иван Симеонов Гетов – главен директор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Юлиян Елинов Моллов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Боряна Асенова Борисова – началник на отдел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Милен </w:t>
            </w:r>
            <w:proofErr w:type="spellStart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Светославов</w:t>
            </w:r>
            <w:proofErr w:type="spellEnd"/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 Обретенов – началник на отдел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Борбата с измамите и корупцията. Научени ли са уроците?: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Кристиян Иванов Кирилов – главен вътрешен одитор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Борба с измами при усвояване на средства от ЕС. Система на ЕК за измерване на риска от измами и нередности </w:t>
            </w: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ARACHNE</w:t>
            </w: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Камелия Веселинова Грудева – главен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Владимир Русев Янев – старши експерт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Христо Славчев Спасов – старши експерт</w:t>
            </w:r>
          </w:p>
          <w:p w:rsidR="00A33A51" w:rsidRPr="000E3606" w:rsidRDefault="00A33A51" w:rsidP="00A33A5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36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Превенция и противодействие на корупцията в държавната администрация:</w:t>
            </w:r>
          </w:p>
          <w:p w:rsidR="00A33A51" w:rsidRPr="000E3606" w:rsidRDefault="00A33A51" w:rsidP="00A33A5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Михаил Велинов Василев – държавен експерт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A33A51" w:rsidRPr="000E3606" w:rsidRDefault="00A33A51" w:rsidP="00A33A5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Повишаване на знанията и уменията за извършване на анализ с цел предотвратяване на нарушения при възлагане на обществени поръчки;</w:t>
            </w:r>
          </w:p>
          <w:p w:rsidR="00A33A51" w:rsidRPr="000E3606" w:rsidRDefault="00A33A51" w:rsidP="00A33A5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Избягване на неефективно разходване на средства от ЕС;</w:t>
            </w:r>
          </w:p>
          <w:p w:rsidR="00B67C2E" w:rsidRPr="000E3606" w:rsidRDefault="00A33A51" w:rsidP="00A33A5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>Повишаване на осведомеността на служителите с изискванията на Закона за мерките срещу изпиране на пари</w:t>
            </w:r>
            <w:r w:rsidR="00B67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1"/>
        <w:tblW w:w="15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4"/>
        <w:gridCol w:w="3657"/>
        <w:gridCol w:w="1518"/>
        <w:gridCol w:w="3850"/>
        <w:gridCol w:w="1826"/>
        <w:gridCol w:w="20"/>
      </w:tblGrid>
      <w:tr w:rsidR="0041700B" w:rsidTr="0041700B">
        <w:tc>
          <w:tcPr>
            <w:tcW w:w="15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Посочване на възможни начини за подаване на сигнали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1700B" w:rsidRDefault="0041700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Други</w:t>
            </w: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МРРБ – гр. София 1202,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ул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.“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Св.Св.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Кирил и Методий“ 17-19;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ГД „СППРР“ към МРРБ –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1303, бул. "Тодор Александров" 109-115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адрес: </w:t>
            </w: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41700B" w:rsidRDefault="00B67C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3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41700B" w:rsidRDefault="0041700B">
            <w:pPr>
              <w:widowControl w:val="0"/>
            </w:pPr>
          </w:p>
          <w:p w:rsidR="0041700B" w:rsidRDefault="00B67C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4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="0041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. 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41700B" w:rsidRDefault="00B67C2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5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mkrasteva@mrrb.government.bg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41700B" w:rsidRDefault="00B67C2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6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sdilkovski@mrrb.government.bg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41700B" w:rsidRDefault="00B67C2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  <w:hyperlink r:id="rId17" w:history="1">
              <w:r w:rsidR="0041700B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ideneva@mrrb.government.bg</w:t>
              </w:r>
            </w:hyperlink>
            <w:r w:rsidR="0041700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Телефонен номер: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 439                           02/ 9405 383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05 493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05 593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Центъра за административно обслужване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 xml:space="preserve">МРРБ е поставена кутия за мнения и коментари на граждани </w:t>
            </w:r>
          </w:p>
          <w:p w:rsidR="0041700B" w:rsidRDefault="0041700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41700B" w:rsidRDefault="0041700B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t xml:space="preserve"> </w:t>
            </w: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0700 130 20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поставена кутия за мнения, коментари и оплаквания на гражданите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по геодезия, картография и кадастър – </w:t>
            </w:r>
          </w:p>
          <w:p w:rsidR="0041700B" w:rsidRDefault="0041700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t xml:space="preserve"> </w:t>
            </w:r>
          </w:p>
          <w:p w:rsidR="0041700B" w:rsidRDefault="00B67C2E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9" w:history="1">
              <w:r w:rsidR="0041700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02/818 83 83</w:t>
            </w:r>
          </w:p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41700B" w:rsidRDefault="0041700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 клиенти е поставена кутия за мнения, коментари и оплаквания на гражданите</w:t>
            </w:r>
          </w:p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rPr>
          <w:gridAfter w:val="1"/>
          <w:wAfter w:w="20" w:type="dxa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адрес: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 w:bidi="bg-BG"/>
                </w:rPr>
                <w:t>coruption@dnsk.bg</w:t>
              </w:r>
            </w:hyperlink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 клиенти е поставена кутия за мнения, коментари и оплаквания на гражданите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41700B" w:rsidTr="0041700B">
        <w:tc>
          <w:tcPr>
            <w:tcW w:w="1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41700B" w:rsidTr="004170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0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0B" w:rsidRDefault="0041700B" w:rsidP="000B62BF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 на министъра на регионалното развитие и благоустройството са утвърдени „Вътрешни правила за организацията и реда за извършване на проверка на декларациите по Закона да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  <w:r w:rsidR="00B67C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Всички служители на Инспектората, както и служителите, които 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са ангажирани с регистрацията на постъпилите сигнали 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 корупция/конфликт на интереси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са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попълнили декларация з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 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не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разкрива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не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самоличността на лицето, подало сигнал</w:t>
            </w:r>
            <w:r w:rsidR="000B62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  <w:r w:rsidR="000B62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посочената декларация </w:t>
            </w:r>
            <w:bookmarkStart w:id="0" w:name="_GoBack"/>
            <w:bookmarkEnd w:id="0"/>
            <w:r w:rsidR="000B62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служителите са се задължили</w:t>
            </w:r>
            <w:r w:rsidR="000B62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да не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разгласява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факти и данни, които са</w:t>
            </w:r>
            <w:r w:rsidR="00D620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станали известни при изпълнение на служебните им задължения</w:t>
            </w:r>
            <w:r w:rsidR="000B62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както и</w:t>
            </w:r>
            <w:r w:rsidR="00B448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да опазват поверените им писмени документи от неразрешен достъп на трети лица.</w:t>
            </w:r>
          </w:p>
        </w:tc>
      </w:tr>
    </w:tbl>
    <w:p w:rsidR="009B454A" w:rsidRDefault="009B454A"/>
    <w:sectPr w:rsidR="009B454A" w:rsidSect="004D7954">
      <w:pgSz w:w="16838" w:h="11906" w:orient="landscape"/>
      <w:pgMar w:top="993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7B3"/>
    <w:multiLevelType w:val="hybridMultilevel"/>
    <w:tmpl w:val="726E4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8B5"/>
    <w:multiLevelType w:val="hybridMultilevel"/>
    <w:tmpl w:val="40F69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D55"/>
    <w:multiLevelType w:val="hybridMultilevel"/>
    <w:tmpl w:val="22A8D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B12"/>
    <w:multiLevelType w:val="hybridMultilevel"/>
    <w:tmpl w:val="ACE45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F0FF4"/>
    <w:multiLevelType w:val="hybridMultilevel"/>
    <w:tmpl w:val="88325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0702"/>
    <w:multiLevelType w:val="hybridMultilevel"/>
    <w:tmpl w:val="5F0CBF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30A2"/>
    <w:multiLevelType w:val="hybridMultilevel"/>
    <w:tmpl w:val="1AC2DDF6"/>
    <w:lvl w:ilvl="0" w:tplc="90CA2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91"/>
    <w:multiLevelType w:val="hybridMultilevel"/>
    <w:tmpl w:val="663C6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4"/>
    <w:rsid w:val="000000AA"/>
    <w:rsid w:val="000073D8"/>
    <w:rsid w:val="00012458"/>
    <w:rsid w:val="000228DE"/>
    <w:rsid w:val="00025A55"/>
    <w:rsid w:val="00045F8B"/>
    <w:rsid w:val="000536BD"/>
    <w:rsid w:val="000558EB"/>
    <w:rsid w:val="00056EB4"/>
    <w:rsid w:val="00062E77"/>
    <w:rsid w:val="00064D40"/>
    <w:rsid w:val="0006797A"/>
    <w:rsid w:val="0007182C"/>
    <w:rsid w:val="000A04F6"/>
    <w:rsid w:val="000B62BF"/>
    <w:rsid w:val="000D0B05"/>
    <w:rsid w:val="000D4B0C"/>
    <w:rsid w:val="000D6489"/>
    <w:rsid w:val="000E3606"/>
    <w:rsid w:val="00112D35"/>
    <w:rsid w:val="001247ED"/>
    <w:rsid w:val="00130C24"/>
    <w:rsid w:val="0015620D"/>
    <w:rsid w:val="00164903"/>
    <w:rsid w:val="00170C49"/>
    <w:rsid w:val="00173D02"/>
    <w:rsid w:val="00190BC6"/>
    <w:rsid w:val="001B4A93"/>
    <w:rsid w:val="001C10EC"/>
    <w:rsid w:val="001D4BF8"/>
    <w:rsid w:val="001F615B"/>
    <w:rsid w:val="001F7CA6"/>
    <w:rsid w:val="00216DA6"/>
    <w:rsid w:val="00220F42"/>
    <w:rsid w:val="00232C7D"/>
    <w:rsid w:val="00234CEF"/>
    <w:rsid w:val="002371BA"/>
    <w:rsid w:val="00284946"/>
    <w:rsid w:val="0028595D"/>
    <w:rsid w:val="002924FF"/>
    <w:rsid w:val="00294423"/>
    <w:rsid w:val="002962D6"/>
    <w:rsid w:val="002B6050"/>
    <w:rsid w:val="002E5176"/>
    <w:rsid w:val="00302D9F"/>
    <w:rsid w:val="00304358"/>
    <w:rsid w:val="00306277"/>
    <w:rsid w:val="0031097B"/>
    <w:rsid w:val="00311B17"/>
    <w:rsid w:val="00323775"/>
    <w:rsid w:val="003455FE"/>
    <w:rsid w:val="003540A7"/>
    <w:rsid w:val="003615C1"/>
    <w:rsid w:val="00370CFD"/>
    <w:rsid w:val="00380530"/>
    <w:rsid w:val="003B4236"/>
    <w:rsid w:val="003C13F5"/>
    <w:rsid w:val="003D1459"/>
    <w:rsid w:val="003D6900"/>
    <w:rsid w:val="003E086C"/>
    <w:rsid w:val="003F5E9A"/>
    <w:rsid w:val="0041700B"/>
    <w:rsid w:val="00431E38"/>
    <w:rsid w:val="004423CF"/>
    <w:rsid w:val="00466970"/>
    <w:rsid w:val="004708C2"/>
    <w:rsid w:val="00474CB3"/>
    <w:rsid w:val="00491860"/>
    <w:rsid w:val="004C07F0"/>
    <w:rsid w:val="004C34FC"/>
    <w:rsid w:val="004C432C"/>
    <w:rsid w:val="004C5094"/>
    <w:rsid w:val="004D7954"/>
    <w:rsid w:val="00513534"/>
    <w:rsid w:val="00515A73"/>
    <w:rsid w:val="0052219D"/>
    <w:rsid w:val="00524C2F"/>
    <w:rsid w:val="0053282C"/>
    <w:rsid w:val="005340F8"/>
    <w:rsid w:val="00536B54"/>
    <w:rsid w:val="00554A38"/>
    <w:rsid w:val="00567382"/>
    <w:rsid w:val="00567B6B"/>
    <w:rsid w:val="00597B49"/>
    <w:rsid w:val="005A2895"/>
    <w:rsid w:val="005E168F"/>
    <w:rsid w:val="0060558A"/>
    <w:rsid w:val="006132AB"/>
    <w:rsid w:val="00613A9C"/>
    <w:rsid w:val="00620CCC"/>
    <w:rsid w:val="00622425"/>
    <w:rsid w:val="006228EB"/>
    <w:rsid w:val="006441FA"/>
    <w:rsid w:val="0064581C"/>
    <w:rsid w:val="00672BB6"/>
    <w:rsid w:val="006A7DFA"/>
    <w:rsid w:val="006D1FF7"/>
    <w:rsid w:val="006E342D"/>
    <w:rsid w:val="006E782E"/>
    <w:rsid w:val="006F44CC"/>
    <w:rsid w:val="007009BE"/>
    <w:rsid w:val="007208CE"/>
    <w:rsid w:val="00780801"/>
    <w:rsid w:val="007C1FE1"/>
    <w:rsid w:val="007C3224"/>
    <w:rsid w:val="007C4633"/>
    <w:rsid w:val="007D00AE"/>
    <w:rsid w:val="007D6240"/>
    <w:rsid w:val="007E0B23"/>
    <w:rsid w:val="007E6827"/>
    <w:rsid w:val="007F6AA2"/>
    <w:rsid w:val="00801F12"/>
    <w:rsid w:val="0081265A"/>
    <w:rsid w:val="00837942"/>
    <w:rsid w:val="0084640F"/>
    <w:rsid w:val="00850C34"/>
    <w:rsid w:val="00854712"/>
    <w:rsid w:val="0087441C"/>
    <w:rsid w:val="0087649A"/>
    <w:rsid w:val="008978D9"/>
    <w:rsid w:val="008A247D"/>
    <w:rsid w:val="008A7045"/>
    <w:rsid w:val="008B6751"/>
    <w:rsid w:val="008C3BD2"/>
    <w:rsid w:val="00904BFD"/>
    <w:rsid w:val="00907396"/>
    <w:rsid w:val="00920059"/>
    <w:rsid w:val="00922925"/>
    <w:rsid w:val="00922F89"/>
    <w:rsid w:val="00926073"/>
    <w:rsid w:val="0093631E"/>
    <w:rsid w:val="009419A3"/>
    <w:rsid w:val="00975009"/>
    <w:rsid w:val="00977A6A"/>
    <w:rsid w:val="00982810"/>
    <w:rsid w:val="00997DAE"/>
    <w:rsid w:val="009B454A"/>
    <w:rsid w:val="009E7A2C"/>
    <w:rsid w:val="00A0026C"/>
    <w:rsid w:val="00A12D99"/>
    <w:rsid w:val="00A33A51"/>
    <w:rsid w:val="00A6752F"/>
    <w:rsid w:val="00A72A99"/>
    <w:rsid w:val="00A7585E"/>
    <w:rsid w:val="00A80FE8"/>
    <w:rsid w:val="00A84DF3"/>
    <w:rsid w:val="00A9313F"/>
    <w:rsid w:val="00AA4733"/>
    <w:rsid w:val="00AA5E73"/>
    <w:rsid w:val="00AB27B3"/>
    <w:rsid w:val="00AC40AD"/>
    <w:rsid w:val="00AD6116"/>
    <w:rsid w:val="00AE1CDF"/>
    <w:rsid w:val="00AE702E"/>
    <w:rsid w:val="00AF7A4A"/>
    <w:rsid w:val="00B00DAB"/>
    <w:rsid w:val="00B016A4"/>
    <w:rsid w:val="00B0346E"/>
    <w:rsid w:val="00B06894"/>
    <w:rsid w:val="00B3171D"/>
    <w:rsid w:val="00B31B41"/>
    <w:rsid w:val="00B448E0"/>
    <w:rsid w:val="00B46556"/>
    <w:rsid w:val="00B63EC3"/>
    <w:rsid w:val="00B67C2E"/>
    <w:rsid w:val="00B736D1"/>
    <w:rsid w:val="00B74165"/>
    <w:rsid w:val="00B9065C"/>
    <w:rsid w:val="00BA6E0C"/>
    <w:rsid w:val="00BB623C"/>
    <w:rsid w:val="00BC278F"/>
    <w:rsid w:val="00BD0DAD"/>
    <w:rsid w:val="00BE0B82"/>
    <w:rsid w:val="00BE4D0A"/>
    <w:rsid w:val="00C03827"/>
    <w:rsid w:val="00C1022F"/>
    <w:rsid w:val="00C476AD"/>
    <w:rsid w:val="00C511B0"/>
    <w:rsid w:val="00C63F90"/>
    <w:rsid w:val="00C93BA0"/>
    <w:rsid w:val="00C97CE5"/>
    <w:rsid w:val="00CA2DBC"/>
    <w:rsid w:val="00CA7DB3"/>
    <w:rsid w:val="00CC492F"/>
    <w:rsid w:val="00CD1CD2"/>
    <w:rsid w:val="00CF29CF"/>
    <w:rsid w:val="00CF4AB2"/>
    <w:rsid w:val="00D13EFD"/>
    <w:rsid w:val="00D14AF5"/>
    <w:rsid w:val="00D41E49"/>
    <w:rsid w:val="00D52A5E"/>
    <w:rsid w:val="00D5327F"/>
    <w:rsid w:val="00D61244"/>
    <w:rsid w:val="00D6200A"/>
    <w:rsid w:val="00D812D5"/>
    <w:rsid w:val="00D83E72"/>
    <w:rsid w:val="00D83F4B"/>
    <w:rsid w:val="00D92353"/>
    <w:rsid w:val="00DD6258"/>
    <w:rsid w:val="00DF710B"/>
    <w:rsid w:val="00DF7128"/>
    <w:rsid w:val="00E06B6B"/>
    <w:rsid w:val="00E136B3"/>
    <w:rsid w:val="00E3298E"/>
    <w:rsid w:val="00E4106D"/>
    <w:rsid w:val="00E440A5"/>
    <w:rsid w:val="00E514B1"/>
    <w:rsid w:val="00E61D2E"/>
    <w:rsid w:val="00E8181F"/>
    <w:rsid w:val="00E843C2"/>
    <w:rsid w:val="00E857E7"/>
    <w:rsid w:val="00EA55B6"/>
    <w:rsid w:val="00ED25A0"/>
    <w:rsid w:val="00EE2A45"/>
    <w:rsid w:val="00F216B4"/>
    <w:rsid w:val="00F369C5"/>
    <w:rsid w:val="00F40BFD"/>
    <w:rsid w:val="00F61779"/>
    <w:rsid w:val="00F95224"/>
    <w:rsid w:val="00F95C80"/>
    <w:rsid w:val="00FA0A0D"/>
    <w:rsid w:val="00FB352B"/>
    <w:rsid w:val="00FB6531"/>
    <w:rsid w:val="00FC19EF"/>
    <w:rsid w:val="00FD1F0A"/>
    <w:rsid w:val="00FD79E5"/>
    <w:rsid w:val="00FD7A0D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605"/>
  <w15:docId w15:val="{B7C3DE97-647A-4313-B7AB-2ADC854D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9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7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regio.eu/izpalnenie-na-dogovori/ukazaniya-za-izpalnenie-na-dogovori/ukazaniya-obshtestveni-porachki.aspx" TargetMode="External"/><Relationship Id="rId13" Type="http://schemas.openxmlformats.org/officeDocument/2006/relationships/hyperlink" Target="mailto:inspektorat@mrrb.government.bg" TargetMode="External"/><Relationship Id="rId18" Type="http://schemas.openxmlformats.org/officeDocument/2006/relationships/hyperlink" Target="mailto:signali@api.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gregio.eu/media/files/Izpalnenie%20na%20dogovori/ZOP/ZOP_sreshtani_greshky_ukazania_benef.pdf" TargetMode="External"/><Relationship Id="rId12" Type="http://schemas.openxmlformats.org/officeDocument/2006/relationships/hyperlink" Target="mailto:anticorr@mrrb.government.bg" TargetMode="External"/><Relationship Id="rId17" Type="http://schemas.openxmlformats.org/officeDocument/2006/relationships/hyperlink" Target="mailto:ideneva@mrrb.government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ilkovski@mrrb.government.bg" TargetMode="External"/><Relationship Id="rId20" Type="http://schemas.openxmlformats.org/officeDocument/2006/relationships/hyperlink" Target="mailto:coruption@dnsk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gregio.eu" TargetMode="External"/><Relationship Id="rId11" Type="http://schemas.openxmlformats.org/officeDocument/2006/relationships/hyperlink" Target="http://www.bgregio.eu/izpalnenie-na-dogovori/ukazaniya-za-izpalnenie-na-dogovori/ukazaniya-obshtestveni-porachki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rasteva@mrrb.government.bg" TargetMode="External"/><Relationship Id="rId10" Type="http://schemas.openxmlformats.org/officeDocument/2006/relationships/hyperlink" Target="http://www.bgregio.eu/izpalnenie-na-dogovori/signali-za-nerednosti/finansovite-korektsii.aspx" TargetMode="External"/><Relationship Id="rId19" Type="http://schemas.openxmlformats.org/officeDocument/2006/relationships/hyperlink" Target="mailto:acad@cadastr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regio.eu/media/files/Izpalnenie%20na%20dogovori/ZORN/05072018-Web%20page%20info%20irregularities.pdf" TargetMode="External"/><Relationship Id="rId14" Type="http://schemas.openxmlformats.org/officeDocument/2006/relationships/hyperlink" Target="http://www.bgregio.eu/izpalnenie-na-dogovori/signali-za-nerednosti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01E5-AB35-41D3-ABE6-A49FA395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23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Rudarova</dc:creator>
  <cp:keywords/>
  <dc:description/>
  <cp:lastModifiedBy>MINA NIKOLOVA RUDAROVA</cp:lastModifiedBy>
  <cp:revision>197</cp:revision>
  <cp:lastPrinted>2020-02-10T13:01:00Z</cp:lastPrinted>
  <dcterms:created xsi:type="dcterms:W3CDTF">2018-12-21T11:21:00Z</dcterms:created>
  <dcterms:modified xsi:type="dcterms:W3CDTF">2020-02-11T10:00:00Z</dcterms:modified>
</cp:coreProperties>
</file>